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4C" w:rsidRPr="004C542A" w:rsidRDefault="0033284C" w:rsidP="0033284C">
      <w:pPr>
        <w:tabs>
          <w:tab w:val="left" w:pos="8640"/>
        </w:tabs>
        <w:jc w:val="center"/>
        <w:rPr>
          <w:rFonts w:ascii="Rockwell" w:hAnsi="Rockwell" w:cs="Arial"/>
          <w:szCs w:val="24"/>
        </w:rPr>
      </w:pPr>
      <w:r w:rsidRPr="004C542A">
        <w:rPr>
          <w:rFonts w:ascii="Rockwell" w:hAnsi="Rockwell" w:cs="Arial"/>
          <w:szCs w:val="24"/>
        </w:rPr>
        <w:t>The Chillicothe and Ross County Public Library</w:t>
      </w:r>
    </w:p>
    <w:p w:rsidR="0033284C" w:rsidRPr="004C542A" w:rsidRDefault="0033284C" w:rsidP="0033284C">
      <w:pPr>
        <w:tabs>
          <w:tab w:val="left" w:pos="8640"/>
        </w:tabs>
        <w:jc w:val="center"/>
        <w:rPr>
          <w:rFonts w:ascii="Rockwell" w:hAnsi="Rockwell" w:cs="Arial"/>
          <w:szCs w:val="24"/>
        </w:rPr>
      </w:pPr>
      <w:r w:rsidRPr="004C542A">
        <w:rPr>
          <w:rFonts w:ascii="Rockwell" w:hAnsi="Rockwell" w:cs="Arial"/>
          <w:szCs w:val="24"/>
        </w:rPr>
        <w:t>Board of Trustees</w:t>
      </w:r>
    </w:p>
    <w:p w:rsidR="0033284C" w:rsidRPr="004C542A" w:rsidRDefault="00B234AA" w:rsidP="0033284C">
      <w:pPr>
        <w:tabs>
          <w:tab w:val="left" w:pos="8640"/>
        </w:tabs>
        <w:jc w:val="center"/>
        <w:rPr>
          <w:rFonts w:ascii="Rockwell" w:hAnsi="Rockwell" w:cs="Arial"/>
          <w:szCs w:val="24"/>
        </w:rPr>
      </w:pPr>
      <w:r>
        <w:rPr>
          <w:rFonts w:ascii="Rockwell" w:hAnsi="Rockwell" w:cs="Arial"/>
          <w:szCs w:val="24"/>
        </w:rPr>
        <w:t>M</w:t>
      </w:r>
      <w:r w:rsidR="00480781">
        <w:rPr>
          <w:rFonts w:ascii="Rockwell" w:hAnsi="Rockwell" w:cs="Arial"/>
          <w:szCs w:val="24"/>
        </w:rPr>
        <w:t>arch 13</w:t>
      </w:r>
      <w:r w:rsidR="0033284C">
        <w:rPr>
          <w:rFonts w:ascii="Rockwell" w:hAnsi="Rockwell" w:cs="Arial"/>
          <w:szCs w:val="24"/>
        </w:rPr>
        <w:t>, 2024</w:t>
      </w:r>
    </w:p>
    <w:p w:rsidR="0033284C" w:rsidRPr="004C542A" w:rsidRDefault="0033284C" w:rsidP="0033284C">
      <w:pPr>
        <w:tabs>
          <w:tab w:val="left" w:pos="8640"/>
        </w:tabs>
        <w:rPr>
          <w:rFonts w:ascii="Rockwell" w:hAnsi="Rockwell" w:cs="Arial"/>
          <w:sz w:val="22"/>
          <w:szCs w:val="22"/>
        </w:rPr>
      </w:pPr>
    </w:p>
    <w:p w:rsidR="0033284C" w:rsidRPr="004C542A" w:rsidRDefault="0033284C" w:rsidP="0033284C">
      <w:pPr>
        <w:tabs>
          <w:tab w:val="left" w:pos="8640"/>
        </w:tabs>
        <w:rPr>
          <w:rFonts w:ascii="Rockwell" w:hAnsi="Rockwell" w:cs="Arial"/>
          <w:sz w:val="22"/>
          <w:szCs w:val="22"/>
        </w:rPr>
      </w:pPr>
    </w:p>
    <w:p w:rsidR="0033284C" w:rsidRDefault="0033284C" w:rsidP="0033284C">
      <w:pPr>
        <w:tabs>
          <w:tab w:val="left" w:pos="2160"/>
          <w:tab w:val="left" w:pos="5040"/>
          <w:tab w:val="left" w:pos="8640"/>
        </w:tabs>
        <w:rPr>
          <w:rFonts w:ascii="Rockwell" w:hAnsi="Rockwell" w:cs="Arial"/>
          <w:sz w:val="22"/>
          <w:szCs w:val="22"/>
        </w:rPr>
      </w:pPr>
      <w:r w:rsidRPr="004C542A">
        <w:rPr>
          <w:rFonts w:ascii="Rockwell" w:hAnsi="Rockwell" w:cs="Arial"/>
          <w:sz w:val="22"/>
          <w:szCs w:val="22"/>
        </w:rPr>
        <w:t>Present:</w:t>
      </w:r>
      <w:r w:rsidRPr="004C542A">
        <w:rPr>
          <w:rFonts w:ascii="Rockwell" w:hAnsi="Rockwell" w:cs="Arial"/>
          <w:sz w:val="22"/>
          <w:szCs w:val="22"/>
        </w:rPr>
        <w:tab/>
        <w:t>Board Members</w:t>
      </w:r>
      <w:r w:rsidRPr="004C542A">
        <w:rPr>
          <w:rFonts w:ascii="Rockwell" w:hAnsi="Rockwell" w:cs="Arial"/>
          <w:sz w:val="22"/>
          <w:szCs w:val="22"/>
        </w:rPr>
        <w:tab/>
      </w:r>
      <w:r>
        <w:rPr>
          <w:rFonts w:ascii="Rockwell" w:hAnsi="Rockwell" w:cs="Arial"/>
          <w:sz w:val="22"/>
          <w:szCs w:val="22"/>
        </w:rPr>
        <w:t>Tamra Lowe, Angela Hirsch,</w:t>
      </w:r>
      <w:r>
        <w:rPr>
          <w:rFonts w:ascii="Rockwell" w:hAnsi="Rockwell" w:cs="Arial"/>
          <w:sz w:val="22"/>
          <w:szCs w:val="22"/>
        </w:rPr>
        <w:tab/>
      </w:r>
    </w:p>
    <w:p w:rsidR="0033284C" w:rsidRDefault="0033284C" w:rsidP="00C30D78">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 xml:space="preserve">Andrea Oyer, </w:t>
      </w:r>
      <w:r w:rsidR="00C30D78">
        <w:rPr>
          <w:rFonts w:ascii="Rockwell" w:hAnsi="Rockwell" w:cs="Arial"/>
          <w:sz w:val="22"/>
          <w:szCs w:val="22"/>
        </w:rPr>
        <w:t>Lori Graves,</w:t>
      </w:r>
    </w:p>
    <w:p w:rsidR="0033284C" w:rsidRDefault="0033284C" w:rsidP="0033284C">
      <w:pPr>
        <w:tabs>
          <w:tab w:val="left" w:pos="2160"/>
          <w:tab w:val="left" w:pos="5040"/>
          <w:tab w:val="left" w:pos="8640"/>
        </w:tabs>
        <w:ind w:left="5040"/>
        <w:rPr>
          <w:rFonts w:ascii="Rockwell" w:hAnsi="Rockwell" w:cs="Arial"/>
          <w:sz w:val="22"/>
          <w:szCs w:val="22"/>
        </w:rPr>
      </w:pPr>
      <w:r>
        <w:rPr>
          <w:rFonts w:ascii="Rockwell" w:hAnsi="Rockwell" w:cs="Arial"/>
          <w:sz w:val="22"/>
          <w:szCs w:val="22"/>
        </w:rPr>
        <w:t>and Student Trustee Jackson Kohls</w:t>
      </w:r>
      <w:r>
        <w:rPr>
          <w:rFonts w:ascii="Rockwell" w:hAnsi="Rockwell" w:cs="Arial"/>
          <w:sz w:val="22"/>
          <w:szCs w:val="22"/>
        </w:rPr>
        <w:tab/>
      </w:r>
      <w:r>
        <w:rPr>
          <w:rFonts w:ascii="Rockwell" w:hAnsi="Rockwell" w:cs="Arial"/>
          <w:sz w:val="22"/>
          <w:szCs w:val="22"/>
        </w:rPr>
        <w:tab/>
      </w:r>
    </w:p>
    <w:p w:rsidR="0033284C" w:rsidRDefault="0033284C" w:rsidP="0033284C">
      <w:pPr>
        <w:tabs>
          <w:tab w:val="left" w:pos="2160"/>
          <w:tab w:val="left" w:pos="5040"/>
          <w:tab w:val="left" w:pos="8640"/>
        </w:tabs>
        <w:rPr>
          <w:rFonts w:ascii="Rockwell" w:hAnsi="Rockwell" w:cs="Arial"/>
          <w:sz w:val="22"/>
          <w:szCs w:val="22"/>
        </w:rPr>
      </w:pPr>
    </w:p>
    <w:p w:rsidR="0033284C" w:rsidRDefault="0033284C" w:rsidP="00C30D78">
      <w:pPr>
        <w:tabs>
          <w:tab w:val="left" w:pos="2160"/>
          <w:tab w:val="left" w:pos="5040"/>
          <w:tab w:val="left" w:pos="8640"/>
        </w:tabs>
        <w:ind w:left="2160" w:hanging="2160"/>
        <w:rPr>
          <w:rFonts w:ascii="Rockwell" w:hAnsi="Rockwell" w:cs="Arial"/>
          <w:sz w:val="22"/>
          <w:szCs w:val="22"/>
        </w:rPr>
      </w:pPr>
      <w:r>
        <w:rPr>
          <w:rFonts w:ascii="Rockwell" w:hAnsi="Rockwell" w:cs="Arial"/>
          <w:sz w:val="22"/>
          <w:szCs w:val="22"/>
        </w:rPr>
        <w:t>Absent:</w:t>
      </w:r>
      <w:r>
        <w:rPr>
          <w:rFonts w:ascii="Rockwell" w:hAnsi="Rockwell" w:cs="Arial"/>
          <w:sz w:val="22"/>
          <w:szCs w:val="22"/>
        </w:rPr>
        <w:tab/>
      </w:r>
      <w:r>
        <w:rPr>
          <w:rFonts w:ascii="Rockwell" w:hAnsi="Rockwell" w:cs="Arial"/>
          <w:sz w:val="22"/>
          <w:szCs w:val="22"/>
        </w:rPr>
        <w:tab/>
      </w:r>
      <w:r w:rsidR="00A47E23">
        <w:rPr>
          <w:rFonts w:ascii="Rockwell" w:hAnsi="Rockwell" w:cs="Arial"/>
          <w:sz w:val="22"/>
          <w:szCs w:val="22"/>
        </w:rPr>
        <w:t>Rob Augg</w:t>
      </w:r>
      <w:r w:rsidR="00C30D78">
        <w:rPr>
          <w:rFonts w:ascii="Rockwell" w:hAnsi="Rockwell" w:cs="Arial"/>
          <w:sz w:val="22"/>
          <w:szCs w:val="22"/>
        </w:rPr>
        <w:t xml:space="preserve">, Retha Simmons-Jones, Cathy    </w:t>
      </w:r>
      <w:r>
        <w:rPr>
          <w:rFonts w:ascii="Rockwell" w:hAnsi="Rockwell" w:cs="Arial"/>
          <w:sz w:val="22"/>
          <w:szCs w:val="22"/>
        </w:rPr>
        <w:tab/>
      </w:r>
      <w:r w:rsidR="00C30D78">
        <w:rPr>
          <w:rFonts w:ascii="Rockwell" w:hAnsi="Rockwell" w:cs="Arial"/>
          <w:sz w:val="22"/>
          <w:szCs w:val="22"/>
        </w:rPr>
        <w:t>Adams</w:t>
      </w:r>
    </w:p>
    <w:p w:rsidR="0033284C" w:rsidRDefault="0033284C" w:rsidP="0033284C">
      <w:pPr>
        <w:tabs>
          <w:tab w:val="left" w:pos="2160"/>
          <w:tab w:val="left" w:pos="5040"/>
          <w:tab w:val="left" w:pos="8640"/>
        </w:tabs>
        <w:rPr>
          <w:rFonts w:ascii="Rockwell" w:hAnsi="Rockwell" w:cs="Arial"/>
          <w:sz w:val="22"/>
          <w:szCs w:val="22"/>
        </w:rPr>
      </w:pPr>
    </w:p>
    <w:p w:rsidR="0033284C" w:rsidRPr="004C542A" w:rsidRDefault="0033284C" w:rsidP="0033284C">
      <w:pPr>
        <w:tabs>
          <w:tab w:val="left" w:pos="2160"/>
          <w:tab w:val="left" w:pos="5040"/>
          <w:tab w:val="left" w:pos="8640"/>
        </w:tabs>
        <w:rPr>
          <w:rFonts w:ascii="Rockwell" w:hAnsi="Rockwell" w:cs="Arial"/>
          <w:sz w:val="22"/>
          <w:szCs w:val="22"/>
        </w:rPr>
      </w:pPr>
      <w:r w:rsidRPr="004C542A">
        <w:rPr>
          <w:rFonts w:ascii="Rockwell" w:hAnsi="Rockwell" w:cs="Arial"/>
          <w:sz w:val="22"/>
          <w:szCs w:val="22"/>
        </w:rPr>
        <w:t>Others Present:</w:t>
      </w:r>
      <w:r w:rsidRPr="004C542A">
        <w:rPr>
          <w:rFonts w:ascii="Rockwell" w:hAnsi="Rockwell" w:cs="Arial"/>
          <w:sz w:val="22"/>
          <w:szCs w:val="22"/>
        </w:rPr>
        <w:tab/>
      </w:r>
      <w:r w:rsidRPr="004C542A">
        <w:rPr>
          <w:rFonts w:ascii="Rockwell" w:hAnsi="Rockwell" w:cs="Arial"/>
          <w:sz w:val="22"/>
          <w:szCs w:val="22"/>
        </w:rPr>
        <w:tab/>
        <w:t>James Hill,</w:t>
      </w:r>
      <w:r>
        <w:rPr>
          <w:rFonts w:ascii="Rockwell" w:hAnsi="Rockwell" w:cs="Arial"/>
          <w:sz w:val="22"/>
          <w:szCs w:val="22"/>
        </w:rPr>
        <w:t xml:space="preserve"> Executive</w:t>
      </w:r>
      <w:r w:rsidRPr="004C542A">
        <w:rPr>
          <w:rFonts w:ascii="Rockwell" w:hAnsi="Rockwell" w:cs="Arial"/>
          <w:sz w:val="22"/>
          <w:szCs w:val="22"/>
        </w:rPr>
        <w:t xml:space="preserve"> Director</w:t>
      </w:r>
    </w:p>
    <w:p w:rsidR="0033284C" w:rsidRDefault="0033284C" w:rsidP="0033284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 xml:space="preserve">Cassie Stout, </w:t>
      </w:r>
      <w:r>
        <w:rPr>
          <w:rFonts w:ascii="Rockwell" w:hAnsi="Rockwell" w:cs="Arial"/>
          <w:sz w:val="22"/>
          <w:szCs w:val="22"/>
        </w:rPr>
        <w:t xml:space="preserve">Chief </w:t>
      </w:r>
      <w:r w:rsidRPr="004C542A">
        <w:rPr>
          <w:rFonts w:ascii="Rockwell" w:hAnsi="Rockwell" w:cs="Arial"/>
          <w:sz w:val="22"/>
          <w:szCs w:val="22"/>
        </w:rPr>
        <w:t>Fiscal Officer</w:t>
      </w:r>
    </w:p>
    <w:p w:rsidR="004242E7" w:rsidRDefault="004242E7" w:rsidP="0033284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Jennifer Slone, Access Director</w:t>
      </w:r>
    </w:p>
    <w:p w:rsidR="004242E7" w:rsidRPr="004C542A" w:rsidRDefault="004242E7" w:rsidP="0033284C">
      <w:pPr>
        <w:tabs>
          <w:tab w:val="left" w:pos="2160"/>
          <w:tab w:val="left" w:pos="5040"/>
          <w:tab w:val="left" w:pos="8640"/>
        </w:tabs>
        <w:rPr>
          <w:rFonts w:ascii="Rockwell" w:hAnsi="Rockwell" w:cs="Arial"/>
          <w:sz w:val="22"/>
          <w:szCs w:val="22"/>
        </w:rPr>
      </w:pPr>
      <w:r>
        <w:rPr>
          <w:rFonts w:ascii="Rockwell" w:hAnsi="Rockwell" w:cs="Arial"/>
          <w:sz w:val="22"/>
          <w:szCs w:val="22"/>
        </w:rPr>
        <w:tab/>
        <w:t>`</w:t>
      </w:r>
      <w:r>
        <w:rPr>
          <w:rFonts w:ascii="Rockwell" w:hAnsi="Rockwell" w:cs="Arial"/>
          <w:sz w:val="22"/>
          <w:szCs w:val="22"/>
        </w:rPr>
        <w:tab/>
        <w:t>Mike Jones, Outreach Manager</w:t>
      </w:r>
      <w:bookmarkStart w:id="0" w:name="_GoBack"/>
      <w:bookmarkEnd w:id="0"/>
    </w:p>
    <w:p w:rsidR="0033284C" w:rsidRDefault="0033284C" w:rsidP="00B234AA">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p>
    <w:p w:rsidR="0033284C" w:rsidRPr="004C542A" w:rsidRDefault="0033284C" w:rsidP="0033284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p>
    <w:p w:rsidR="0033284C" w:rsidRDefault="0033284C" w:rsidP="0033284C">
      <w:pPr>
        <w:tabs>
          <w:tab w:val="left" w:pos="2160"/>
          <w:tab w:val="left" w:pos="5400"/>
          <w:tab w:val="left" w:pos="8640"/>
        </w:tabs>
        <w:rPr>
          <w:rFonts w:ascii="Rockwell" w:hAnsi="Rockwell" w:cs="Arial"/>
          <w:szCs w:val="24"/>
        </w:rPr>
      </w:pPr>
      <w:r w:rsidRPr="004C542A">
        <w:rPr>
          <w:rFonts w:ascii="Rockwell" w:hAnsi="Rockwell" w:cs="Arial"/>
          <w:szCs w:val="24"/>
        </w:rPr>
        <w:t xml:space="preserve">The </w:t>
      </w:r>
      <w:r w:rsidRPr="0094240B">
        <w:rPr>
          <w:rFonts w:ascii="Rockwell" w:hAnsi="Rockwell" w:cs="Arial"/>
          <w:szCs w:val="24"/>
        </w:rPr>
        <w:t>meeting</w:t>
      </w:r>
      <w:r w:rsidRPr="004C542A">
        <w:rPr>
          <w:rFonts w:ascii="Rockwell" w:hAnsi="Rockwell" w:cs="Arial"/>
          <w:szCs w:val="24"/>
        </w:rPr>
        <w:t xml:space="preserve"> was called to order </w:t>
      </w:r>
      <w:r>
        <w:rPr>
          <w:rFonts w:ascii="Rockwell" w:hAnsi="Rockwell" w:cs="Arial"/>
          <w:szCs w:val="24"/>
        </w:rPr>
        <w:t xml:space="preserve">at </w:t>
      </w:r>
      <w:r w:rsidR="00C30D78">
        <w:rPr>
          <w:rFonts w:ascii="Rockwell" w:hAnsi="Rockwell" w:cs="Arial"/>
          <w:szCs w:val="24"/>
        </w:rPr>
        <w:softHyphen/>
      </w:r>
      <w:r w:rsidR="00C30D78">
        <w:rPr>
          <w:rFonts w:ascii="Rockwell" w:hAnsi="Rockwell" w:cs="Arial"/>
          <w:szCs w:val="24"/>
        </w:rPr>
        <w:softHyphen/>
      </w:r>
      <w:r w:rsidR="00C30D78">
        <w:rPr>
          <w:rFonts w:ascii="Rockwell" w:hAnsi="Rockwell" w:cs="Arial"/>
          <w:szCs w:val="24"/>
        </w:rPr>
        <w:softHyphen/>
        <w:t>4:31</w:t>
      </w:r>
      <w:r w:rsidRPr="004C542A">
        <w:rPr>
          <w:rFonts w:ascii="Rockwell" w:hAnsi="Rockwell" w:cs="Arial"/>
          <w:szCs w:val="24"/>
        </w:rPr>
        <w:t xml:space="preserve"> by </w:t>
      </w:r>
      <w:r>
        <w:rPr>
          <w:rFonts w:ascii="Rockwell" w:hAnsi="Rockwell" w:cs="Arial"/>
          <w:szCs w:val="24"/>
        </w:rPr>
        <w:t xml:space="preserve">Tamra Lowe, </w:t>
      </w:r>
      <w:r w:rsidRPr="004C542A">
        <w:rPr>
          <w:rFonts w:ascii="Rockwell" w:hAnsi="Rockwell" w:cs="Arial"/>
          <w:szCs w:val="24"/>
        </w:rPr>
        <w:t>President.</w:t>
      </w:r>
      <w:r w:rsidR="00527EA4">
        <w:rPr>
          <w:rFonts w:ascii="Rockwell" w:hAnsi="Rockwell" w:cs="Arial"/>
          <w:szCs w:val="24"/>
        </w:rPr>
        <w:t xml:space="preserve"> </w:t>
      </w:r>
    </w:p>
    <w:p w:rsidR="00527EA4" w:rsidRDefault="00527EA4" w:rsidP="0033284C">
      <w:pPr>
        <w:tabs>
          <w:tab w:val="left" w:pos="2160"/>
          <w:tab w:val="left" w:pos="5400"/>
          <w:tab w:val="left" w:pos="8640"/>
        </w:tabs>
        <w:rPr>
          <w:rFonts w:ascii="Rockwell" w:hAnsi="Rockwell" w:cs="Arial"/>
          <w:szCs w:val="24"/>
        </w:rPr>
      </w:pPr>
      <w:r>
        <w:rPr>
          <w:rFonts w:ascii="Rockwell" w:hAnsi="Rockwell" w:cs="Arial"/>
          <w:szCs w:val="24"/>
        </w:rPr>
        <w:t>Angela Hirsch was appointed Secretary Pro-Tem.</w:t>
      </w:r>
    </w:p>
    <w:p w:rsidR="0033284C" w:rsidRDefault="0033284C" w:rsidP="0033284C"/>
    <w:p w:rsidR="0033284C" w:rsidRDefault="0033284C" w:rsidP="0033284C">
      <w:pPr>
        <w:keepNext/>
        <w:tabs>
          <w:tab w:val="left" w:pos="2160"/>
          <w:tab w:val="left" w:pos="5400"/>
          <w:tab w:val="left" w:pos="8640"/>
        </w:tabs>
        <w:outlineLvl w:val="0"/>
        <w:rPr>
          <w:rFonts w:ascii="Rockwell" w:hAnsi="Rockwell" w:cs="Arial"/>
          <w:b/>
          <w:szCs w:val="24"/>
          <w:u w:val="single"/>
          <w:lang w:val="x-none" w:eastAsia="x-none"/>
        </w:rPr>
      </w:pPr>
      <w:r w:rsidRPr="004C542A">
        <w:rPr>
          <w:rFonts w:ascii="Rockwell" w:hAnsi="Rockwell" w:cs="Arial"/>
          <w:b/>
          <w:szCs w:val="24"/>
          <w:u w:val="single"/>
          <w:lang w:val="x-none" w:eastAsia="x-none"/>
        </w:rPr>
        <w:t>PUBLIC COMMENT</w:t>
      </w:r>
    </w:p>
    <w:p w:rsidR="00260D3C" w:rsidRDefault="00260D3C" w:rsidP="0033284C">
      <w:pPr>
        <w:keepNext/>
        <w:tabs>
          <w:tab w:val="left" w:pos="2160"/>
          <w:tab w:val="left" w:pos="5400"/>
          <w:tab w:val="left" w:pos="8640"/>
        </w:tabs>
        <w:outlineLvl w:val="0"/>
        <w:rPr>
          <w:rFonts w:ascii="Rockwell" w:hAnsi="Rockwell" w:cs="Arial"/>
          <w:b/>
          <w:szCs w:val="24"/>
          <w:u w:val="single"/>
          <w:lang w:val="x-none" w:eastAsia="x-none"/>
        </w:rPr>
      </w:pPr>
    </w:p>
    <w:p w:rsidR="00B234AA" w:rsidRDefault="00B234AA" w:rsidP="0033284C">
      <w:pPr>
        <w:keepNext/>
        <w:tabs>
          <w:tab w:val="left" w:pos="2160"/>
          <w:tab w:val="left" w:pos="5400"/>
          <w:tab w:val="left" w:pos="8640"/>
        </w:tabs>
        <w:outlineLvl w:val="0"/>
        <w:rPr>
          <w:rFonts w:ascii="Rockwell" w:hAnsi="Rockwell" w:cs="Arial"/>
          <w:b/>
          <w:szCs w:val="24"/>
          <w:u w:val="single"/>
          <w:lang w:val="x-none" w:eastAsia="x-none"/>
        </w:rPr>
      </w:pPr>
    </w:p>
    <w:p w:rsidR="0033284C" w:rsidRDefault="0033284C" w:rsidP="0033284C">
      <w:pPr>
        <w:keepNext/>
        <w:tabs>
          <w:tab w:val="left" w:pos="2160"/>
          <w:tab w:val="left" w:pos="5400"/>
          <w:tab w:val="left" w:pos="8640"/>
        </w:tabs>
        <w:outlineLvl w:val="0"/>
        <w:rPr>
          <w:rFonts w:ascii="Rockwell" w:hAnsi="Rockwell" w:cs="Arial"/>
          <w:szCs w:val="24"/>
          <w:lang w:eastAsia="x-none"/>
        </w:rPr>
      </w:pPr>
      <w:r w:rsidRPr="00177E61">
        <w:rPr>
          <w:rFonts w:ascii="Rockwell" w:hAnsi="Rockwell" w:cs="Arial"/>
          <w:b/>
          <w:szCs w:val="24"/>
          <w:u w:val="single"/>
          <w:lang w:eastAsia="x-none"/>
        </w:rPr>
        <w:t xml:space="preserve">Staff Presentation </w:t>
      </w:r>
      <w:r w:rsidR="000023FB">
        <w:rPr>
          <w:rFonts w:ascii="Rockwell" w:hAnsi="Rockwell" w:cs="Arial"/>
          <w:b/>
          <w:i/>
          <w:szCs w:val="24"/>
          <w:lang w:eastAsia="x-none"/>
        </w:rPr>
        <w:t xml:space="preserve"> </w:t>
      </w:r>
      <w:r w:rsidR="00177E61" w:rsidRPr="00177E61">
        <w:rPr>
          <w:rFonts w:ascii="Rockwell" w:hAnsi="Rockwell" w:cs="Arial"/>
          <w:szCs w:val="24"/>
          <w:lang w:eastAsia="x-none"/>
        </w:rPr>
        <w:t>Mike Jones, Outreach Manager</w:t>
      </w:r>
      <w:r w:rsidR="00C30D78">
        <w:rPr>
          <w:rFonts w:ascii="Rockwell" w:hAnsi="Rockwell" w:cs="Arial"/>
          <w:szCs w:val="24"/>
          <w:lang w:eastAsia="x-none"/>
        </w:rPr>
        <w:t xml:space="preserve"> and Jenn Slone, Access Director gave a tour of the new Outreach space</w:t>
      </w:r>
    </w:p>
    <w:p w:rsidR="00507FD6" w:rsidRPr="00772818" w:rsidRDefault="00772818" w:rsidP="00772818">
      <w:pPr>
        <w:keepNext/>
        <w:tabs>
          <w:tab w:val="left" w:pos="2160"/>
          <w:tab w:val="left" w:pos="5400"/>
          <w:tab w:val="left" w:pos="8640"/>
        </w:tabs>
        <w:jc w:val="right"/>
        <w:outlineLvl w:val="0"/>
        <w:rPr>
          <w:rFonts w:ascii="Rockwell" w:hAnsi="Rockwell" w:cs="Arial"/>
          <w:szCs w:val="24"/>
          <w:lang w:eastAsia="x-none"/>
        </w:rPr>
      </w:pPr>
      <w:r>
        <w:rPr>
          <w:rFonts w:ascii="Rockwell" w:hAnsi="Rockwell" w:cs="Arial"/>
          <w:szCs w:val="24"/>
          <w:lang w:val="x-none" w:eastAsia="x-none"/>
        </w:rPr>
        <w:tab/>
      </w:r>
      <w:r>
        <w:rPr>
          <w:rFonts w:ascii="Rockwell" w:hAnsi="Rockwell" w:cs="Arial"/>
          <w:szCs w:val="24"/>
          <w:lang w:val="x-none" w:eastAsia="x-none"/>
        </w:rPr>
        <w:tab/>
        <w:t xml:space="preserve">                                </w:t>
      </w:r>
      <w:r>
        <w:rPr>
          <w:rFonts w:ascii="Rockwell" w:hAnsi="Rockwell" w:cs="Arial"/>
          <w:szCs w:val="24"/>
          <w:lang w:eastAsia="x-none"/>
        </w:rPr>
        <w:t xml:space="preserve"> </w:t>
      </w:r>
      <w:r>
        <w:rPr>
          <w:rFonts w:ascii="Rockwell" w:hAnsi="Rockwell" w:cs="Arial"/>
          <w:szCs w:val="24"/>
          <w:lang w:val="x-none" w:eastAsia="x-none"/>
        </w:rPr>
        <w:t xml:space="preserve"> </w:t>
      </w:r>
      <w:r>
        <w:rPr>
          <w:rFonts w:ascii="Rockwell" w:hAnsi="Rockwell" w:cs="Arial"/>
          <w:szCs w:val="24"/>
          <w:lang w:eastAsia="x-none"/>
        </w:rPr>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Pr>
          <w:rFonts w:ascii="Rockwell" w:hAnsi="Rockwell" w:cs="Arial"/>
          <w:szCs w:val="24"/>
          <w:lang w:val="x-none" w:eastAsia="x-none"/>
        </w:rPr>
        <w:tab/>
        <w:t xml:space="preserve">                                </w:t>
      </w:r>
      <w:r>
        <w:rPr>
          <w:rFonts w:ascii="Rockwell" w:hAnsi="Rockwell" w:cs="Arial"/>
          <w:szCs w:val="24"/>
          <w:lang w:eastAsia="x-none"/>
        </w:rPr>
        <w:t xml:space="preserve"> </w:t>
      </w:r>
      <w:r>
        <w:rPr>
          <w:rFonts w:ascii="Rockwell" w:hAnsi="Rockwell" w:cs="Arial"/>
          <w:szCs w:val="24"/>
          <w:lang w:val="x-none" w:eastAsia="x-none"/>
        </w:rPr>
        <w:t xml:space="preserve"> </w:t>
      </w:r>
      <w:r>
        <w:rPr>
          <w:rFonts w:ascii="Rockwell" w:hAnsi="Rockwell" w:cs="Arial"/>
          <w:szCs w:val="24"/>
          <w:lang w:eastAsia="x-none"/>
        </w:rPr>
        <w:t>Resolution 14-24</w:t>
      </w:r>
    </w:p>
    <w:p w:rsidR="0033284C" w:rsidRPr="004C542A" w:rsidRDefault="0033284C" w:rsidP="00772818">
      <w:pPr>
        <w:keepNext/>
        <w:tabs>
          <w:tab w:val="left" w:pos="2160"/>
          <w:tab w:val="left" w:pos="5400"/>
          <w:tab w:val="left" w:pos="8640"/>
        </w:tabs>
        <w:outlineLvl w:val="0"/>
        <w:rPr>
          <w:rFonts w:ascii="Rockwell" w:hAnsi="Rockwell" w:cs="Arial"/>
          <w:b/>
          <w:szCs w:val="24"/>
          <w:u w:val="single"/>
          <w:lang w:eastAsia="x-none"/>
        </w:rPr>
      </w:pPr>
      <w:r w:rsidRPr="004C542A">
        <w:rPr>
          <w:rFonts w:ascii="Rockwell" w:hAnsi="Rockwell" w:cs="Arial"/>
          <w:b/>
          <w:szCs w:val="24"/>
          <w:u w:val="single"/>
          <w:lang w:eastAsia="x-none"/>
        </w:rPr>
        <w:t>CONSENT AGENDA</w:t>
      </w:r>
    </w:p>
    <w:p w:rsidR="0033284C" w:rsidRPr="004C542A" w:rsidRDefault="00B234AA" w:rsidP="0033284C">
      <w:pPr>
        <w:tabs>
          <w:tab w:val="left" w:pos="7110"/>
          <w:tab w:val="left" w:pos="8460"/>
        </w:tabs>
        <w:rPr>
          <w:rFonts w:ascii="Rockwell" w:hAnsi="Rockwell" w:cs="Arial"/>
          <w:szCs w:val="24"/>
        </w:rPr>
      </w:pPr>
      <w:r>
        <w:rPr>
          <w:rFonts w:ascii="Rockwell" w:hAnsi="Rockwell" w:cs="Arial"/>
          <w:szCs w:val="24"/>
        </w:rPr>
        <w:softHyphen/>
      </w:r>
      <w:r>
        <w:rPr>
          <w:rFonts w:ascii="Rockwell" w:hAnsi="Rockwell" w:cs="Arial"/>
          <w:szCs w:val="24"/>
        </w:rPr>
        <w:softHyphen/>
      </w:r>
      <w:r>
        <w:rPr>
          <w:rFonts w:ascii="Rockwell" w:hAnsi="Rockwell" w:cs="Arial"/>
          <w:szCs w:val="24"/>
        </w:rPr>
        <w:softHyphen/>
      </w:r>
      <w:r w:rsidR="00C30D78">
        <w:rPr>
          <w:rFonts w:ascii="Rockwell" w:hAnsi="Rockwell" w:cs="Arial"/>
          <w:szCs w:val="24"/>
        </w:rPr>
        <w:t xml:space="preserve">L. Graves </w:t>
      </w:r>
      <w:r w:rsidR="0033284C" w:rsidRPr="004C542A">
        <w:rPr>
          <w:rFonts w:ascii="Rockwell" w:hAnsi="Rockwell" w:cs="Arial"/>
          <w:szCs w:val="24"/>
        </w:rPr>
        <w:t xml:space="preserve">moved </w:t>
      </w:r>
      <w:r w:rsidR="0033284C" w:rsidRPr="00881366">
        <w:rPr>
          <w:rFonts w:ascii="Rockwell" w:hAnsi="Rockwell" w:cs="Arial"/>
          <w:szCs w:val="24"/>
        </w:rPr>
        <w:t xml:space="preserve">and </w:t>
      </w:r>
      <w:r w:rsidR="00C30D78">
        <w:rPr>
          <w:rFonts w:ascii="Rockwell" w:hAnsi="Rockwell" w:cs="Arial"/>
          <w:szCs w:val="24"/>
        </w:rPr>
        <w:t xml:space="preserve">A. Oyer </w:t>
      </w:r>
      <w:r w:rsidR="0033284C" w:rsidRPr="004C542A">
        <w:rPr>
          <w:rFonts w:ascii="Rockwell" w:hAnsi="Rockwell" w:cs="Arial"/>
          <w:szCs w:val="24"/>
        </w:rPr>
        <w:t>seconded the adoption of the following resolution.</w:t>
      </w:r>
    </w:p>
    <w:p w:rsidR="0033284C" w:rsidRPr="004C542A" w:rsidRDefault="0033284C" w:rsidP="0033284C">
      <w:pPr>
        <w:tabs>
          <w:tab w:val="left" w:pos="7110"/>
          <w:tab w:val="left" w:pos="8460"/>
        </w:tabs>
        <w:rPr>
          <w:rFonts w:ascii="Rockwell" w:hAnsi="Rockwell" w:cs="Arial"/>
          <w:szCs w:val="24"/>
        </w:rPr>
      </w:pPr>
      <w:r w:rsidRPr="004C542A">
        <w:rPr>
          <w:rFonts w:ascii="Rockwell" w:hAnsi="Rockwell" w:cs="Arial"/>
          <w:szCs w:val="24"/>
        </w:rPr>
        <w:tab/>
      </w:r>
    </w:p>
    <w:p w:rsidR="0033284C" w:rsidRDefault="0033284C" w:rsidP="0033284C">
      <w:pPr>
        <w:tabs>
          <w:tab w:val="left" w:pos="2160"/>
          <w:tab w:val="left" w:pos="7200"/>
          <w:tab w:val="left" w:pos="8640"/>
        </w:tabs>
        <w:rPr>
          <w:rFonts w:ascii="Rockwell" w:hAnsi="Rockwell" w:cs="Arial"/>
          <w:szCs w:val="24"/>
        </w:rPr>
      </w:pPr>
      <w:r w:rsidRPr="004C542A">
        <w:rPr>
          <w:rFonts w:ascii="Rockwell" w:hAnsi="Rockwell" w:cs="Arial"/>
          <w:szCs w:val="24"/>
          <w:u w:val="single"/>
        </w:rPr>
        <w:t>That</w:t>
      </w:r>
      <w:r w:rsidRPr="004C542A">
        <w:rPr>
          <w:rFonts w:ascii="Rockwell" w:hAnsi="Rockwell" w:cs="Arial"/>
          <w:szCs w:val="24"/>
        </w:rPr>
        <w:t xml:space="preserve"> the minut</w:t>
      </w:r>
      <w:r>
        <w:rPr>
          <w:rFonts w:ascii="Rockwell" w:hAnsi="Rockwell" w:cs="Arial"/>
          <w:szCs w:val="24"/>
        </w:rPr>
        <w:t xml:space="preserve">es of the </w:t>
      </w:r>
      <w:r w:rsidR="00B234AA">
        <w:rPr>
          <w:rFonts w:ascii="Rockwell" w:hAnsi="Rockwell" w:cs="Arial"/>
          <w:sz w:val="22"/>
          <w:szCs w:val="22"/>
        </w:rPr>
        <w:t>February 14</w:t>
      </w:r>
      <w:r>
        <w:rPr>
          <w:rFonts w:ascii="Rockwell" w:hAnsi="Rockwell" w:cs="Arial"/>
          <w:sz w:val="22"/>
          <w:szCs w:val="22"/>
        </w:rPr>
        <w:t>, 2024</w:t>
      </w:r>
      <w:r w:rsidRPr="004C542A">
        <w:rPr>
          <w:rFonts w:ascii="Rockwell" w:hAnsi="Rockwell" w:cs="Arial"/>
          <w:szCs w:val="24"/>
        </w:rPr>
        <w:t xml:space="preserve"> Regular meeting be approved as presented and,</w:t>
      </w:r>
    </w:p>
    <w:p w:rsidR="0033284C" w:rsidRDefault="0033284C" w:rsidP="0033284C">
      <w:pPr>
        <w:tabs>
          <w:tab w:val="left" w:pos="2160"/>
          <w:tab w:val="left" w:pos="7200"/>
          <w:tab w:val="left" w:pos="8640"/>
        </w:tabs>
        <w:rPr>
          <w:rFonts w:ascii="Rockwell" w:hAnsi="Rockwell" w:cs="Arial"/>
          <w:szCs w:val="24"/>
        </w:rPr>
      </w:pPr>
    </w:p>
    <w:p w:rsidR="0033284C" w:rsidRPr="004C542A" w:rsidRDefault="0033284C" w:rsidP="0033284C">
      <w:pPr>
        <w:tabs>
          <w:tab w:val="left" w:pos="2160"/>
          <w:tab w:val="left" w:pos="720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financial report</w:t>
      </w:r>
      <w:r>
        <w:rPr>
          <w:rFonts w:ascii="Rockwell" w:hAnsi="Rockwell" w:cs="Arial"/>
          <w:szCs w:val="24"/>
        </w:rPr>
        <w:t>s</w:t>
      </w:r>
      <w:r w:rsidRPr="004C542A">
        <w:rPr>
          <w:rFonts w:ascii="Rockwell" w:hAnsi="Rockwell" w:cs="Arial"/>
          <w:szCs w:val="24"/>
        </w:rPr>
        <w:t xml:space="preserve"> as presented from Fiscal Officer’s records and the monthly financial statement</w:t>
      </w:r>
      <w:r>
        <w:rPr>
          <w:rFonts w:ascii="Rockwell" w:hAnsi="Rockwell" w:cs="Arial"/>
          <w:szCs w:val="24"/>
        </w:rPr>
        <w:t>s</w:t>
      </w:r>
      <w:r w:rsidRPr="004C542A">
        <w:rPr>
          <w:rFonts w:ascii="Rockwell" w:hAnsi="Rockwell" w:cs="Arial"/>
          <w:szCs w:val="24"/>
        </w:rPr>
        <w:t xml:space="preserve"> of</w:t>
      </w:r>
      <w:r>
        <w:rPr>
          <w:rFonts w:ascii="Rockwell" w:hAnsi="Rockwell" w:cs="Arial"/>
          <w:szCs w:val="24"/>
        </w:rPr>
        <w:t xml:space="preserve"> the Fiscal Officer for </w:t>
      </w:r>
      <w:r w:rsidR="00B234AA">
        <w:rPr>
          <w:rFonts w:ascii="Rockwell" w:hAnsi="Rockwell" w:cs="Arial"/>
          <w:szCs w:val="24"/>
        </w:rPr>
        <w:t>February</w:t>
      </w:r>
      <w:r w:rsidRPr="004C542A">
        <w:rPr>
          <w:rFonts w:ascii="Rockwell" w:hAnsi="Rockwell" w:cs="Arial"/>
          <w:szCs w:val="24"/>
        </w:rPr>
        <w:t xml:space="preserve"> be received and filed for audit and,</w:t>
      </w:r>
    </w:p>
    <w:p w:rsidR="0033284C" w:rsidRPr="004C542A" w:rsidRDefault="0033284C" w:rsidP="0033284C">
      <w:pPr>
        <w:tabs>
          <w:tab w:val="left" w:pos="2160"/>
          <w:tab w:val="left" w:pos="7200"/>
          <w:tab w:val="left" w:pos="8640"/>
        </w:tabs>
        <w:rPr>
          <w:rFonts w:ascii="Rockwell" w:hAnsi="Rockwell" w:cs="Arial"/>
          <w:szCs w:val="24"/>
        </w:rPr>
      </w:pPr>
    </w:p>
    <w:p w:rsidR="0033284C" w:rsidRPr="00507FD6" w:rsidRDefault="0033284C" w:rsidP="0033284C">
      <w:pPr>
        <w:tabs>
          <w:tab w:val="left" w:pos="711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bills listed under date </w:t>
      </w:r>
      <w:r>
        <w:rPr>
          <w:rFonts w:ascii="Rockwell" w:hAnsi="Rockwell" w:cs="Arial"/>
          <w:szCs w:val="24"/>
        </w:rPr>
        <w:t xml:space="preserve">of </w:t>
      </w:r>
      <w:r w:rsidR="00B234AA">
        <w:rPr>
          <w:rFonts w:ascii="Rockwell" w:hAnsi="Rockwell" w:cs="Arial"/>
          <w:szCs w:val="24"/>
        </w:rPr>
        <w:t>March 13</w:t>
      </w:r>
      <w:r>
        <w:rPr>
          <w:rFonts w:ascii="Rockwell" w:hAnsi="Rockwell" w:cs="Arial"/>
          <w:szCs w:val="24"/>
        </w:rPr>
        <w:t>, 20</w:t>
      </w:r>
      <w:r w:rsidR="00507FD6">
        <w:rPr>
          <w:rFonts w:ascii="Rockwell" w:hAnsi="Rockwell" w:cs="Arial"/>
          <w:szCs w:val="24"/>
        </w:rPr>
        <w:t>24 be approved for payment and,</w:t>
      </w:r>
    </w:p>
    <w:p w:rsidR="0033284C" w:rsidRPr="00B234AA" w:rsidRDefault="0033284C" w:rsidP="0033284C">
      <w:pPr>
        <w:tabs>
          <w:tab w:val="left" w:pos="7110"/>
          <w:tab w:val="left" w:pos="8640"/>
        </w:tabs>
        <w:rPr>
          <w:rFonts w:ascii="Rockwell" w:hAnsi="Rockwell" w:cs="Arial"/>
          <w:szCs w:val="24"/>
          <w:highlight w:val="yellow"/>
        </w:rPr>
      </w:pPr>
    </w:p>
    <w:p w:rsidR="0033284C" w:rsidRDefault="0033284C" w:rsidP="0033284C">
      <w:pPr>
        <w:tabs>
          <w:tab w:val="left" w:pos="7110"/>
          <w:tab w:val="left" w:pos="8640"/>
        </w:tabs>
        <w:rPr>
          <w:rFonts w:ascii="Rockwell" w:hAnsi="Rockwell" w:cs="Arial"/>
          <w:szCs w:val="24"/>
        </w:rPr>
      </w:pPr>
      <w:r w:rsidRPr="00507FD6">
        <w:rPr>
          <w:rFonts w:ascii="Rockwell" w:hAnsi="Rockwell" w:cs="Arial"/>
          <w:szCs w:val="24"/>
          <w:u w:val="single"/>
        </w:rPr>
        <w:t>That</w:t>
      </w:r>
      <w:r w:rsidRPr="00507FD6">
        <w:rPr>
          <w:rFonts w:ascii="Rockwell" w:hAnsi="Rockwell" w:cs="Arial"/>
          <w:szCs w:val="24"/>
        </w:rPr>
        <w:t xml:space="preserve"> the following donations be accepted:</w:t>
      </w:r>
      <w:r>
        <w:rPr>
          <w:rFonts w:ascii="Rockwell" w:hAnsi="Rockwell" w:cs="Arial"/>
          <w:szCs w:val="24"/>
        </w:rPr>
        <w:t xml:space="preserve"> </w:t>
      </w:r>
    </w:p>
    <w:p w:rsidR="00507FD6" w:rsidRDefault="00507FD6" w:rsidP="0033284C">
      <w:pPr>
        <w:tabs>
          <w:tab w:val="left" w:pos="7110"/>
          <w:tab w:val="left" w:pos="8640"/>
        </w:tabs>
        <w:rPr>
          <w:rFonts w:ascii="Rockwell" w:hAnsi="Rockwell" w:cs="Arial"/>
          <w:szCs w:val="24"/>
        </w:rPr>
      </w:pPr>
      <w:r>
        <w:rPr>
          <w:rFonts w:ascii="Rockwell" w:hAnsi="Rockwell" w:cs="Arial"/>
          <w:szCs w:val="24"/>
        </w:rPr>
        <w:t>$75 unrestricted donation from the Trinity UMC Brotherhood</w:t>
      </w:r>
    </w:p>
    <w:p w:rsidR="00507FD6" w:rsidRDefault="00507FD6" w:rsidP="0033284C">
      <w:pPr>
        <w:tabs>
          <w:tab w:val="left" w:pos="7110"/>
          <w:tab w:val="left" w:pos="8640"/>
        </w:tabs>
        <w:rPr>
          <w:rFonts w:ascii="Rockwell" w:hAnsi="Rockwell" w:cs="Arial"/>
          <w:szCs w:val="24"/>
        </w:rPr>
      </w:pPr>
    </w:p>
    <w:p w:rsidR="00507FD6" w:rsidRDefault="00507FD6" w:rsidP="0033284C">
      <w:pPr>
        <w:tabs>
          <w:tab w:val="left" w:pos="7110"/>
          <w:tab w:val="left" w:pos="8640"/>
        </w:tabs>
        <w:rPr>
          <w:rFonts w:ascii="Rockwell" w:hAnsi="Rockwell" w:cs="Arial"/>
          <w:szCs w:val="24"/>
        </w:rPr>
      </w:pPr>
      <w:r w:rsidRPr="00507FD6">
        <w:rPr>
          <w:rFonts w:ascii="Rockwell" w:hAnsi="Rockwell" w:cs="Arial"/>
          <w:szCs w:val="24"/>
          <w:u w:val="single"/>
        </w:rPr>
        <w:t>That</w:t>
      </w:r>
      <w:r>
        <w:rPr>
          <w:rFonts w:ascii="Rockwell" w:hAnsi="Rockwell" w:cs="Arial"/>
          <w:szCs w:val="24"/>
        </w:rPr>
        <w:t xml:space="preserve"> the following grants be accepted:</w:t>
      </w:r>
    </w:p>
    <w:p w:rsidR="00B234AA" w:rsidRDefault="00507FD6" w:rsidP="0033284C">
      <w:pPr>
        <w:tabs>
          <w:tab w:val="left" w:pos="7110"/>
          <w:tab w:val="left" w:pos="8640"/>
        </w:tabs>
        <w:rPr>
          <w:rFonts w:ascii="Rockwell" w:hAnsi="Rockwell" w:cs="Arial"/>
          <w:szCs w:val="24"/>
        </w:rPr>
      </w:pPr>
      <w:r>
        <w:rPr>
          <w:rFonts w:ascii="Rockwell" w:hAnsi="Rockwell" w:cs="Arial"/>
          <w:szCs w:val="24"/>
        </w:rPr>
        <w:t>$2,481 from Ohio History Connection - America 250 Grant to be used for a display cabinet</w:t>
      </w:r>
      <w:r w:rsidR="00970FC7">
        <w:rPr>
          <w:rFonts w:ascii="Rockwell" w:hAnsi="Rockwell" w:cs="Arial"/>
          <w:szCs w:val="24"/>
        </w:rPr>
        <w:t xml:space="preserve"> and,</w:t>
      </w:r>
    </w:p>
    <w:p w:rsidR="00970FC7" w:rsidRDefault="00970FC7" w:rsidP="0033284C">
      <w:pPr>
        <w:tabs>
          <w:tab w:val="left" w:pos="7110"/>
          <w:tab w:val="left" w:pos="8640"/>
        </w:tabs>
        <w:rPr>
          <w:rFonts w:ascii="Rockwell" w:hAnsi="Rockwell" w:cs="Arial"/>
          <w:szCs w:val="24"/>
        </w:rPr>
      </w:pPr>
      <w:r>
        <w:rPr>
          <w:rFonts w:ascii="Rockwell" w:hAnsi="Rockwell" w:cs="Arial"/>
          <w:szCs w:val="24"/>
        </w:rPr>
        <w:lastRenderedPageBreak/>
        <w:t>$1,946 from LSTA-Celebrating Ohio Book Awards and Author Grant to be used to expand our collection of titles by Ohio authors</w:t>
      </w:r>
      <w:r w:rsidR="00E17ABB">
        <w:rPr>
          <w:rFonts w:ascii="Rockwell" w:hAnsi="Rockwell" w:cs="Arial"/>
          <w:szCs w:val="24"/>
        </w:rPr>
        <w:t xml:space="preserve"> and,</w:t>
      </w:r>
    </w:p>
    <w:p w:rsidR="00E17ABB" w:rsidRDefault="00E17ABB" w:rsidP="0033284C">
      <w:pPr>
        <w:tabs>
          <w:tab w:val="left" w:pos="7110"/>
          <w:tab w:val="left" w:pos="8640"/>
        </w:tabs>
        <w:rPr>
          <w:rFonts w:ascii="Rockwell" w:hAnsi="Rockwell" w:cs="Arial"/>
          <w:szCs w:val="24"/>
        </w:rPr>
      </w:pPr>
    </w:p>
    <w:p w:rsidR="00E17ABB" w:rsidRDefault="00E17ABB" w:rsidP="0033284C">
      <w:pPr>
        <w:tabs>
          <w:tab w:val="left" w:pos="7110"/>
          <w:tab w:val="left" w:pos="8640"/>
        </w:tabs>
        <w:rPr>
          <w:rFonts w:ascii="Rockwell" w:hAnsi="Rockwell" w:cs="Arial"/>
          <w:szCs w:val="24"/>
        </w:rPr>
      </w:pPr>
      <w:r w:rsidRPr="00E17ABB">
        <w:rPr>
          <w:rFonts w:ascii="Rockwell" w:hAnsi="Rockwell" w:cs="Arial"/>
          <w:szCs w:val="24"/>
          <w:u w:val="single"/>
        </w:rPr>
        <w:t>That</w:t>
      </w:r>
      <w:r>
        <w:rPr>
          <w:rFonts w:ascii="Rockwell" w:hAnsi="Rockwell" w:cs="Arial"/>
          <w:szCs w:val="24"/>
        </w:rPr>
        <w:t xml:space="preserve"> Then-and-Now Purchase Order #72-2024</w:t>
      </w:r>
      <w:r w:rsidR="0089171F">
        <w:rPr>
          <w:rFonts w:ascii="Rockwell" w:hAnsi="Rockwell" w:cs="Arial"/>
          <w:szCs w:val="24"/>
        </w:rPr>
        <w:t xml:space="preserve"> for $5,503.00</w:t>
      </w:r>
      <w:r>
        <w:rPr>
          <w:rFonts w:ascii="Rockwell" w:hAnsi="Rockwell" w:cs="Arial"/>
          <w:szCs w:val="24"/>
        </w:rPr>
        <w:t xml:space="preserve"> to World Archives newspaper database be approved.</w:t>
      </w:r>
    </w:p>
    <w:p w:rsidR="00507FD6" w:rsidRDefault="00507FD6" w:rsidP="0033284C">
      <w:pPr>
        <w:tabs>
          <w:tab w:val="left" w:pos="7110"/>
          <w:tab w:val="left" w:pos="8640"/>
        </w:tabs>
        <w:rPr>
          <w:rFonts w:ascii="Rockwell" w:hAnsi="Rockwell" w:cs="Arial"/>
          <w:szCs w:val="24"/>
        </w:rPr>
      </w:pPr>
    </w:p>
    <w:p w:rsidR="0033284C" w:rsidRDefault="0033284C" w:rsidP="0033284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3284C" w:rsidRPr="001D05EB" w:rsidRDefault="0033284C" w:rsidP="0033284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sidR="00C30D78">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w:t>
      </w:r>
      <w:r w:rsidR="00C30D78">
        <w:rPr>
          <w:rFonts w:ascii="Rockwell" w:hAnsi="Rockwell" w:cs="Arial"/>
          <w:szCs w:val="24"/>
        </w:rPr>
        <w:t>Y</w:t>
      </w:r>
      <w:r>
        <w:rPr>
          <w:rFonts w:ascii="Rockwell" w:hAnsi="Rockwell" w:cs="Arial"/>
          <w:szCs w:val="24"/>
        </w:rPr>
        <w:t xml:space="preserve">              A. Hirsch   </w:t>
      </w:r>
      <w:r w:rsidR="00C30D78">
        <w:rPr>
          <w:rFonts w:ascii="Rockwell" w:hAnsi="Rockwell" w:cs="Arial"/>
          <w:szCs w:val="24"/>
        </w:rPr>
        <w:t>Y</w:t>
      </w:r>
      <w:r>
        <w:rPr>
          <w:rFonts w:ascii="Rockwell" w:hAnsi="Rockwell" w:cs="Arial"/>
          <w:szCs w:val="24"/>
        </w:rPr>
        <w:t xml:space="preserve">            A. Oyer     </w:t>
      </w:r>
      <w:r w:rsidR="00C30D78">
        <w:rPr>
          <w:rFonts w:ascii="Rockwell" w:hAnsi="Rockwell" w:cs="Arial"/>
          <w:szCs w:val="24"/>
        </w:rPr>
        <w:t>Y</w:t>
      </w:r>
      <w:r>
        <w:rPr>
          <w:rFonts w:ascii="Rockwell" w:hAnsi="Rockwell" w:cs="Arial"/>
          <w:szCs w:val="24"/>
        </w:rPr>
        <w:t xml:space="preserve">                   </w:t>
      </w:r>
    </w:p>
    <w:p w:rsidR="0033284C" w:rsidRPr="00260D3C" w:rsidRDefault="0033284C" w:rsidP="00260D3C">
      <w:pPr>
        <w:tabs>
          <w:tab w:val="left" w:pos="7110"/>
          <w:tab w:val="left" w:pos="8640"/>
        </w:tabs>
        <w:jc w:val="center"/>
        <w:rPr>
          <w:rFonts w:ascii="Rockwell" w:hAnsi="Rockwell" w:cs="Arial"/>
          <w:b/>
          <w:sz w:val="22"/>
          <w:szCs w:val="22"/>
        </w:rPr>
      </w:pPr>
    </w:p>
    <w:p w:rsidR="0033284C" w:rsidRDefault="00B234AA" w:rsidP="0089171F">
      <w:pPr>
        <w:tabs>
          <w:tab w:val="left" w:pos="7110"/>
          <w:tab w:val="left" w:pos="8640"/>
        </w:tabs>
        <w:rPr>
          <w:rFonts w:ascii="Rockwell" w:hAnsi="Rockwell" w:cs="Arial"/>
          <w:b/>
          <w:sz w:val="22"/>
          <w:szCs w:val="22"/>
        </w:rPr>
      </w:pPr>
      <w:r w:rsidRPr="00260D3C">
        <w:rPr>
          <w:rFonts w:ascii="Rockwell" w:hAnsi="Rockwell" w:cs="Arial"/>
          <w:b/>
          <w:sz w:val="22"/>
          <w:szCs w:val="22"/>
        </w:rPr>
        <w:t>Feb</w:t>
      </w:r>
      <w:r w:rsidR="00EF050D">
        <w:rPr>
          <w:rFonts w:ascii="Rockwell" w:hAnsi="Rockwell" w:cs="Arial"/>
          <w:b/>
          <w:sz w:val="22"/>
          <w:szCs w:val="22"/>
        </w:rPr>
        <w:t>ruary</w:t>
      </w:r>
      <w:r w:rsidR="0033284C" w:rsidRPr="00260D3C">
        <w:rPr>
          <w:rFonts w:ascii="Rockwell" w:hAnsi="Rockwell" w:cs="Arial"/>
          <w:b/>
          <w:sz w:val="22"/>
          <w:szCs w:val="22"/>
        </w:rPr>
        <w:t xml:space="preserve"> Financial Report</w:t>
      </w:r>
    </w:p>
    <w:p w:rsidR="00260D3C" w:rsidRPr="00260D3C" w:rsidRDefault="00260D3C" w:rsidP="00260D3C">
      <w:pPr>
        <w:tabs>
          <w:tab w:val="left" w:pos="7110"/>
          <w:tab w:val="left" w:pos="8640"/>
        </w:tabs>
        <w:jc w:val="center"/>
        <w:rPr>
          <w:rFonts w:ascii="Rockwell" w:hAnsi="Rockwell" w:cs="Arial"/>
          <w:b/>
          <w:sz w:val="22"/>
          <w:szCs w:val="22"/>
        </w:rPr>
      </w:pPr>
    </w:p>
    <w:tbl>
      <w:tblPr>
        <w:tblW w:w="6360" w:type="dxa"/>
        <w:tblLook w:val="04A0" w:firstRow="1" w:lastRow="0" w:firstColumn="1" w:lastColumn="0" w:noHBand="0" w:noVBand="1"/>
      </w:tblPr>
      <w:tblGrid>
        <w:gridCol w:w="3510"/>
        <w:gridCol w:w="2850"/>
      </w:tblGrid>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Balance February 1, 2023</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5,421,128.26 </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February Receipts</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u w:val="single"/>
              </w:rPr>
            </w:pPr>
            <w:r w:rsidRPr="00260D3C">
              <w:rPr>
                <w:rFonts w:ascii="Rockwell" w:hAnsi="Rockwell"/>
                <w:color w:val="000000"/>
                <w:sz w:val="21"/>
                <w:szCs w:val="21"/>
                <w:u w:val="single"/>
              </w:rPr>
              <w:t xml:space="preserve"> $               292,089.18 </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Total</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5,713,217.44 </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February Expenditures</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u w:val="single"/>
              </w:rPr>
            </w:pPr>
            <w:r w:rsidRPr="00260D3C">
              <w:rPr>
                <w:rFonts w:ascii="Rockwell" w:hAnsi="Rockwell"/>
                <w:color w:val="000000"/>
                <w:sz w:val="21"/>
                <w:szCs w:val="21"/>
                <w:u w:val="single"/>
              </w:rPr>
              <w:t xml:space="preserve"> $              (356,256.53)</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260D3C" w:rsidP="00AF2A74">
            <w:pPr>
              <w:rPr>
                <w:rFonts w:ascii="Rockwell" w:hAnsi="Rockwell"/>
                <w:color w:val="000000"/>
                <w:sz w:val="21"/>
                <w:szCs w:val="21"/>
              </w:rPr>
            </w:pPr>
            <w:r>
              <w:rPr>
                <w:rFonts w:ascii="Rockwell" w:hAnsi="Rockwell"/>
                <w:color w:val="000000"/>
                <w:sz w:val="21"/>
                <w:szCs w:val="21"/>
              </w:rPr>
              <w:t>Ledger Bal</w:t>
            </w:r>
            <w:r w:rsidR="00AF2A74" w:rsidRPr="00260D3C">
              <w:rPr>
                <w:rFonts w:ascii="Rockwell" w:hAnsi="Rockwell"/>
                <w:color w:val="000000"/>
                <w:sz w:val="21"/>
                <w:szCs w:val="21"/>
              </w:rPr>
              <w:t xml:space="preserve"> February 29, 2023</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5,356,960.91 </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Outstanding Checks</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u w:val="single"/>
              </w:rPr>
            </w:pPr>
            <w:r w:rsidRPr="00260D3C">
              <w:rPr>
                <w:rFonts w:ascii="Rockwell" w:hAnsi="Rockwell"/>
                <w:color w:val="000000"/>
                <w:sz w:val="21"/>
                <w:szCs w:val="21"/>
                <w:u w:val="single"/>
              </w:rPr>
              <w:t xml:space="preserve"> $                   9,440.16 </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Total</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5,366,401.07 </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Petty Cash</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(475.00)</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Doris T. Culp Fund - Stock</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(10,500.00)</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Anne R. Schlegel Fund - KNB CD</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(10,000.00)</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Kingston Money Market</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(426,853.63)</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Star Ohio</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(4,437,584.14)</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LCNB Certificate of Deposit</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(245,000.00)</w:t>
            </w:r>
          </w:p>
        </w:tc>
      </w:tr>
      <w:tr w:rsidR="00AF2A74" w:rsidRPr="00AF2A74" w:rsidTr="00AF2A74">
        <w:trPr>
          <w:trHeight w:val="319"/>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JLX Construction Retainage</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u w:val="single"/>
              </w:rPr>
            </w:pPr>
            <w:r w:rsidRPr="00260D3C">
              <w:rPr>
                <w:rFonts w:ascii="Rockwell" w:hAnsi="Rockwell"/>
                <w:color w:val="000000"/>
                <w:sz w:val="21"/>
                <w:szCs w:val="21"/>
                <w:u w:val="single"/>
              </w:rPr>
              <w:t xml:space="preserve"> $               (66,547.72)</w:t>
            </w:r>
          </w:p>
        </w:tc>
      </w:tr>
      <w:tr w:rsidR="00AF2A74" w:rsidRPr="00AF2A74" w:rsidTr="00260D3C">
        <w:trPr>
          <w:trHeight w:val="297"/>
        </w:trPr>
        <w:tc>
          <w:tcPr>
            <w:tcW w:w="351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Checking Balance </w:t>
            </w:r>
          </w:p>
        </w:tc>
        <w:tc>
          <w:tcPr>
            <w:tcW w:w="2850" w:type="dxa"/>
            <w:tcBorders>
              <w:top w:val="nil"/>
              <w:left w:val="nil"/>
              <w:bottom w:val="nil"/>
              <w:right w:val="nil"/>
            </w:tcBorders>
            <w:shd w:val="clear" w:color="auto" w:fill="auto"/>
            <w:noWrap/>
            <w:vAlign w:val="bottom"/>
            <w:hideMark/>
          </w:tcPr>
          <w:p w:rsidR="00AF2A74" w:rsidRPr="00260D3C" w:rsidRDefault="00AF2A74" w:rsidP="00AF2A74">
            <w:pPr>
              <w:rPr>
                <w:rFonts w:ascii="Rockwell" w:hAnsi="Rockwell"/>
                <w:color w:val="000000"/>
                <w:sz w:val="21"/>
                <w:szCs w:val="21"/>
              </w:rPr>
            </w:pPr>
            <w:r w:rsidRPr="00260D3C">
              <w:rPr>
                <w:rFonts w:ascii="Rockwell" w:hAnsi="Rockwell"/>
                <w:color w:val="000000"/>
                <w:sz w:val="21"/>
                <w:szCs w:val="21"/>
              </w:rPr>
              <w:t xml:space="preserve"> $               169,440.58 </w:t>
            </w:r>
          </w:p>
        </w:tc>
      </w:tr>
      <w:tr w:rsidR="00AF2A74" w:rsidRPr="00AF2A74" w:rsidTr="00260D3C">
        <w:trPr>
          <w:trHeight w:val="80"/>
        </w:trPr>
        <w:tc>
          <w:tcPr>
            <w:tcW w:w="3510" w:type="dxa"/>
            <w:tcBorders>
              <w:top w:val="nil"/>
              <w:left w:val="nil"/>
              <w:bottom w:val="nil"/>
              <w:right w:val="nil"/>
            </w:tcBorders>
            <w:shd w:val="clear" w:color="auto" w:fill="auto"/>
            <w:noWrap/>
            <w:vAlign w:val="bottom"/>
          </w:tcPr>
          <w:p w:rsidR="00AF2A74" w:rsidRPr="00AF2A74" w:rsidRDefault="00AF2A74" w:rsidP="00AF2A74">
            <w:pPr>
              <w:rPr>
                <w:color w:val="000000"/>
                <w:sz w:val="22"/>
                <w:szCs w:val="22"/>
              </w:rPr>
            </w:pPr>
          </w:p>
        </w:tc>
        <w:tc>
          <w:tcPr>
            <w:tcW w:w="2850" w:type="dxa"/>
            <w:tcBorders>
              <w:top w:val="nil"/>
              <w:left w:val="nil"/>
              <w:bottom w:val="nil"/>
              <w:right w:val="nil"/>
            </w:tcBorders>
            <w:shd w:val="clear" w:color="auto" w:fill="auto"/>
            <w:noWrap/>
            <w:vAlign w:val="bottom"/>
          </w:tcPr>
          <w:p w:rsidR="00AF2A74" w:rsidRPr="00AF2A74" w:rsidRDefault="00AF2A74" w:rsidP="00AF2A74">
            <w:pPr>
              <w:rPr>
                <w:color w:val="000000"/>
                <w:sz w:val="22"/>
                <w:szCs w:val="22"/>
              </w:rPr>
            </w:pPr>
          </w:p>
        </w:tc>
      </w:tr>
      <w:tr w:rsidR="00AF2A74" w:rsidRPr="00AF2A74" w:rsidTr="00260D3C">
        <w:trPr>
          <w:trHeight w:val="80"/>
        </w:trPr>
        <w:tc>
          <w:tcPr>
            <w:tcW w:w="3510" w:type="dxa"/>
            <w:tcBorders>
              <w:top w:val="nil"/>
              <w:left w:val="nil"/>
              <w:bottom w:val="nil"/>
              <w:right w:val="nil"/>
            </w:tcBorders>
            <w:shd w:val="clear" w:color="auto" w:fill="auto"/>
            <w:noWrap/>
            <w:vAlign w:val="bottom"/>
          </w:tcPr>
          <w:p w:rsidR="00AF2A74" w:rsidRPr="00AF2A74" w:rsidRDefault="00AF2A74" w:rsidP="00AF2A74">
            <w:pPr>
              <w:rPr>
                <w:color w:val="000000"/>
                <w:sz w:val="22"/>
                <w:szCs w:val="22"/>
              </w:rPr>
            </w:pPr>
          </w:p>
        </w:tc>
        <w:tc>
          <w:tcPr>
            <w:tcW w:w="2850" w:type="dxa"/>
            <w:tcBorders>
              <w:top w:val="nil"/>
              <w:left w:val="nil"/>
              <w:bottom w:val="nil"/>
              <w:right w:val="nil"/>
            </w:tcBorders>
            <w:shd w:val="clear" w:color="auto" w:fill="auto"/>
            <w:noWrap/>
            <w:vAlign w:val="bottom"/>
          </w:tcPr>
          <w:p w:rsidR="00AF2A74" w:rsidRPr="00AF2A74" w:rsidRDefault="00AF2A74" w:rsidP="00AF2A74">
            <w:pPr>
              <w:rPr>
                <w:color w:val="000000"/>
                <w:sz w:val="22"/>
                <w:szCs w:val="22"/>
              </w:rPr>
            </w:pPr>
          </w:p>
        </w:tc>
      </w:tr>
    </w:tbl>
    <w:p w:rsidR="0033284C" w:rsidRDefault="0033284C" w:rsidP="0089171F">
      <w:pPr>
        <w:tabs>
          <w:tab w:val="left" w:pos="7110"/>
          <w:tab w:val="left" w:pos="8640"/>
        </w:tabs>
        <w:rPr>
          <w:rFonts w:ascii="Rockwell" w:hAnsi="Rockwell" w:cs="Arial"/>
          <w:b/>
          <w:sz w:val="22"/>
          <w:szCs w:val="22"/>
        </w:rPr>
      </w:pPr>
      <w:r w:rsidRPr="009E3635">
        <w:rPr>
          <w:rFonts w:ascii="Rockwell" w:hAnsi="Rockwell" w:cs="Arial"/>
          <w:b/>
          <w:sz w:val="22"/>
          <w:szCs w:val="22"/>
        </w:rPr>
        <w:t>Approval of Bills</w:t>
      </w:r>
      <w:r w:rsidR="00260D3C" w:rsidRPr="009E3635">
        <w:rPr>
          <w:rFonts w:ascii="Rockwell" w:hAnsi="Rockwell" w:cs="Arial"/>
          <w:b/>
          <w:sz w:val="22"/>
          <w:szCs w:val="22"/>
        </w:rPr>
        <w:t xml:space="preserve"> 03/</w:t>
      </w:r>
      <w:r w:rsidR="00260D3C">
        <w:rPr>
          <w:rFonts w:ascii="Rockwell" w:hAnsi="Rockwell" w:cs="Arial"/>
          <w:b/>
          <w:sz w:val="22"/>
          <w:szCs w:val="22"/>
        </w:rPr>
        <w:t>13/24</w:t>
      </w:r>
    </w:p>
    <w:p w:rsidR="00260D3C" w:rsidRDefault="00260D3C" w:rsidP="00260D3C">
      <w:pPr>
        <w:tabs>
          <w:tab w:val="left" w:pos="7110"/>
          <w:tab w:val="left" w:pos="8640"/>
        </w:tabs>
        <w:jc w:val="center"/>
        <w:rPr>
          <w:rFonts w:ascii="Rockwell" w:hAnsi="Rockwell" w:cs="Arial"/>
          <w:b/>
          <w:sz w:val="22"/>
          <w:szCs w:val="22"/>
        </w:rPr>
      </w:pPr>
    </w:p>
    <w:tbl>
      <w:tblPr>
        <w:tblW w:w="8140" w:type="dxa"/>
        <w:tblLook w:val="04A0" w:firstRow="1" w:lastRow="0" w:firstColumn="1" w:lastColumn="0" w:noHBand="0" w:noVBand="1"/>
      </w:tblPr>
      <w:tblGrid>
        <w:gridCol w:w="2740"/>
        <w:gridCol w:w="3700"/>
        <w:gridCol w:w="1700"/>
      </w:tblGrid>
      <w:tr w:rsidR="00260D3C" w:rsidRPr="00260D3C" w:rsidTr="00260D3C">
        <w:trPr>
          <w:trHeight w:val="300"/>
        </w:trPr>
        <w:tc>
          <w:tcPr>
            <w:tcW w:w="2740" w:type="dxa"/>
            <w:tcBorders>
              <w:top w:val="nil"/>
              <w:left w:val="nil"/>
              <w:bottom w:val="nil"/>
              <w:right w:val="nil"/>
            </w:tcBorders>
            <w:shd w:val="clear" w:color="auto" w:fill="auto"/>
            <w:noWrap/>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ABCO Printing</w:t>
            </w:r>
          </w:p>
        </w:tc>
        <w:tc>
          <w:tcPr>
            <w:tcW w:w="3700" w:type="dxa"/>
            <w:tcBorders>
              <w:top w:val="nil"/>
              <w:left w:val="nil"/>
              <w:bottom w:val="nil"/>
              <w:right w:val="nil"/>
            </w:tcBorders>
            <w:shd w:val="clear" w:color="auto" w:fill="auto"/>
            <w:noWrap/>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Check Stock</w:t>
            </w:r>
          </w:p>
        </w:tc>
        <w:tc>
          <w:tcPr>
            <w:tcW w:w="1700" w:type="dxa"/>
            <w:tcBorders>
              <w:top w:val="nil"/>
              <w:left w:val="nil"/>
              <w:bottom w:val="nil"/>
              <w:right w:val="nil"/>
            </w:tcBorders>
            <w:shd w:val="clear" w:color="auto" w:fill="auto"/>
            <w:noWrap/>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$325.34</w:t>
            </w:r>
          </w:p>
        </w:tc>
      </w:tr>
      <w:tr w:rsidR="00260D3C" w:rsidRPr="00260D3C" w:rsidTr="00260D3C">
        <w:trPr>
          <w:trHeight w:val="300"/>
        </w:trPr>
        <w:tc>
          <w:tcPr>
            <w:tcW w:w="2740" w:type="dxa"/>
            <w:tcBorders>
              <w:top w:val="nil"/>
              <w:left w:val="nil"/>
              <w:bottom w:val="nil"/>
              <w:right w:val="nil"/>
            </w:tcBorders>
            <w:shd w:val="clear" w:color="auto" w:fill="auto"/>
            <w:noWrap/>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Chillicothe Fire &amp; Sec</w:t>
            </w:r>
          </w:p>
        </w:tc>
        <w:tc>
          <w:tcPr>
            <w:tcW w:w="3700" w:type="dxa"/>
            <w:tcBorders>
              <w:top w:val="nil"/>
              <w:left w:val="nil"/>
              <w:bottom w:val="nil"/>
              <w:right w:val="nil"/>
            </w:tcBorders>
            <w:shd w:val="clear" w:color="auto" w:fill="auto"/>
            <w:noWrap/>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Svc Calls &amp; Inspections</w:t>
            </w:r>
          </w:p>
        </w:tc>
        <w:tc>
          <w:tcPr>
            <w:tcW w:w="1700" w:type="dxa"/>
            <w:tcBorders>
              <w:top w:val="nil"/>
              <w:left w:val="nil"/>
              <w:bottom w:val="nil"/>
              <w:right w:val="nil"/>
            </w:tcBorders>
            <w:shd w:val="clear" w:color="auto" w:fill="auto"/>
            <w:noWrap/>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$595.00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Gordon Flesch</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Main/NS Copier Use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$496.52</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Lowes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Facilities Supplies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$944.21</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Library Ideas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Vox Books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$926.78</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State Chemical</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Air Care Program</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$183.39</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Wendy Payne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HRA Reimbursement</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244.48</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Amazon</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Books, Supplies, Beyond Books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$4,345.16</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KNB Cr Card</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Supplies, Software, Dues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$2,290.30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AEP</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Electric Main, Rdale, Annex</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$2,999.80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Bainbridge Comm Cntr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Lease &amp; Electric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$2,107.77</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Barking Dog</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Storywalk Supplies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$433.72</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Captain Steamer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Main/Annex Carpet &amp; Tile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$1,032.00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Columbia Gas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Kingston &amp; Annex Svc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$1,274.04</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lastRenderedPageBreak/>
              <w:t>Chillicothe Civic Theater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1/2 Page Ad</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$160.00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OhioNet</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NatGeo Kids &amp; NuWav Legal</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$1,487.33</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South Central Power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Kingston &amp; F Fort Svc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$368.00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The Water Express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South Salem Water</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$9.95</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Kingston Natl Bank</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Monthy Checking Acct Fee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$19.08</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CRCPL</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Gross Payroll 03/01</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$85,465.78</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IRS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Library's Share of Medicare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$1,229.44</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Aetna</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Library's Share of Medical Premium</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$29,008.23</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First Data</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Cr Card Proc Fees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$64.08</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Allison Metzger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HRA Reimbursement</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$5,500.00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AEP</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Northside Svc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$1,085.98</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Baker &amp; Taylor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Books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$10,200.26</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Cengage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Books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$2,270.20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Chillicothe Fire &amp; Sec</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Strobe Lights Install</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$260.00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Central Center Hardware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Supplies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$85.94</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Chillicothe Gazette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Kingston &amp; S Salem Subscrpt</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$1,730.39</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Columbia Gas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Northside Svc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$738.00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Gordon Flesch</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Copier Lease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$340.76</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Kathy Cruse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HRA Reimbursement</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$67.76</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Library Ideas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Vox Books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$278.88</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Midwest Tape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Hoopla eBooks &amp; A/V</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$5,229.96</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0"/>
              </w:rPr>
            </w:pPr>
            <w:r w:rsidRPr="00260D3C">
              <w:rPr>
                <w:rFonts w:ascii="Rockwell" w:hAnsi="Rockwell" w:cs="Calibri"/>
                <w:color w:val="000000"/>
                <w:sz w:val="20"/>
              </w:rPr>
              <w:t>Mighty Childrens Museum</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BB Passes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$300.00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Overdrive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ODL eBooks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$3,303.00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Ross Co Water Co</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R Dale Svc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$26.87</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R Dale Sewer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R Dale Svc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$17.94</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Stephanie Cartee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Line Dance Program</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$60.00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Sheena Brown</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Mileage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$36.94</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Sherwin Williams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Paint &amp; Supplies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$424.55</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Village of Frankfort</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Water/Sewer</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$30.00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Village of Kingston</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Water/Sewer</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$45.00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Guardian</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Insurance Premiums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$4,951.07</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Quill</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Office Supplies &amp; Toner</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$1,372.90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Office City Express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IT Mgr Office Furniture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$149.55</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BP</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Vehicle Fuel</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$362.12</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KNB Cr Card</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Staff Svc Award Pins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$32.69</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First Data</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Monthly Cr Card Device Fee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$8.53</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Buckeye Propane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Frankfort Svc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$155.00</w:t>
            </w:r>
          </w:p>
        </w:tc>
      </w:tr>
      <w:tr w:rsidR="00260D3C" w:rsidRPr="00260D3C" w:rsidTr="00260D3C">
        <w:trPr>
          <w:trHeight w:val="300"/>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CenterPoint</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Large Print Books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$243.30</w:t>
            </w:r>
          </w:p>
        </w:tc>
      </w:tr>
      <w:tr w:rsidR="00260D3C" w:rsidRPr="00260D3C" w:rsidTr="00260D3C">
        <w:trPr>
          <w:trHeight w:val="300"/>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CenturyLink/Lumen</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 Salem Phone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$8.98</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Chillicothe Utilities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Water/Sewer</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$663.67</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Demco</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TP Supplies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$335.35</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Frontier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 Salem Phone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$123.20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Gordon Flesch</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Copier Use/Maint</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$323.66</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Hayes Library</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Presidential Library Index</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$300.00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Horizon</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Telephone/Internet</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$3,829.23</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lastRenderedPageBreak/>
              <w:t>Library Design</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0"/>
              </w:rPr>
            </w:pPr>
            <w:r w:rsidRPr="00260D3C">
              <w:rPr>
                <w:rFonts w:ascii="Rockwell" w:hAnsi="Rockwell" w:cs="Calibri"/>
                <w:color w:val="000000"/>
                <w:sz w:val="20"/>
              </w:rPr>
              <w:t>Outreach Shelving/Furniture &amp; Panels</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$51,453.00</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Rumpke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Main/Rdale/Ffort/Kngst Trash</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$599.44</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Spectrum</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Clarksburg &amp; Zane Internet</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$139.96</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T-Mobile</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Cell Svc</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$132.01</w:t>
            </w:r>
          </w:p>
        </w:tc>
      </w:tr>
      <w:tr w:rsidR="00260D3C" w:rsidRPr="00260D3C" w:rsidTr="00260D3C">
        <w:trPr>
          <w:trHeight w:val="285"/>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Todd Ginther</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HRA Reimbursement</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rPr>
            </w:pPr>
            <w:r w:rsidRPr="00260D3C">
              <w:rPr>
                <w:rFonts w:ascii="Rockwell" w:hAnsi="Rockwell" w:cs="Calibri"/>
                <w:color w:val="000000"/>
                <w:sz w:val="21"/>
                <w:szCs w:val="21"/>
              </w:rPr>
              <w:t>$1,072.46</w:t>
            </w:r>
          </w:p>
        </w:tc>
      </w:tr>
      <w:tr w:rsidR="00260D3C" w:rsidRPr="00260D3C" w:rsidTr="00260D3C">
        <w:trPr>
          <w:trHeight w:val="270"/>
        </w:trPr>
        <w:tc>
          <w:tcPr>
            <w:tcW w:w="274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World Archives</w:t>
            </w:r>
          </w:p>
        </w:tc>
        <w:tc>
          <w:tcPr>
            <w:tcW w:w="3700" w:type="dxa"/>
            <w:tcBorders>
              <w:top w:val="nil"/>
              <w:left w:val="nil"/>
              <w:bottom w:val="nil"/>
              <w:right w:val="nil"/>
            </w:tcBorders>
            <w:shd w:val="clear" w:color="auto" w:fill="auto"/>
            <w:noWrap/>
            <w:vAlign w:val="bottom"/>
            <w:hideMark/>
          </w:tcPr>
          <w:p w:rsidR="00260D3C" w:rsidRPr="00260D3C" w:rsidRDefault="00260D3C" w:rsidP="00260D3C">
            <w:pPr>
              <w:rPr>
                <w:rFonts w:ascii="Rockwell" w:hAnsi="Rockwell" w:cs="Calibri"/>
                <w:color w:val="000000"/>
                <w:sz w:val="21"/>
                <w:szCs w:val="21"/>
              </w:rPr>
            </w:pPr>
            <w:r w:rsidRPr="00260D3C">
              <w:rPr>
                <w:rFonts w:ascii="Rockwell" w:hAnsi="Rockwell" w:cs="Calibri"/>
                <w:color w:val="000000"/>
                <w:sz w:val="21"/>
                <w:szCs w:val="21"/>
              </w:rPr>
              <w:t>Newspaper Database</w:t>
            </w:r>
          </w:p>
        </w:tc>
        <w:tc>
          <w:tcPr>
            <w:tcW w:w="1700" w:type="dxa"/>
            <w:tcBorders>
              <w:top w:val="nil"/>
              <w:left w:val="nil"/>
              <w:bottom w:val="nil"/>
              <w:right w:val="nil"/>
            </w:tcBorders>
            <w:shd w:val="clear" w:color="auto" w:fill="auto"/>
            <w:noWrap/>
            <w:vAlign w:val="bottom"/>
            <w:hideMark/>
          </w:tcPr>
          <w:p w:rsidR="00260D3C" w:rsidRPr="00260D3C" w:rsidRDefault="00260D3C" w:rsidP="00260D3C">
            <w:pPr>
              <w:jc w:val="right"/>
              <w:rPr>
                <w:rFonts w:ascii="Rockwell" w:hAnsi="Rockwell" w:cs="Calibri"/>
                <w:color w:val="000000"/>
                <w:sz w:val="21"/>
                <w:szCs w:val="21"/>
                <w:u w:val="single"/>
              </w:rPr>
            </w:pPr>
            <w:r w:rsidRPr="00260D3C">
              <w:rPr>
                <w:rFonts w:ascii="Rockwell" w:hAnsi="Rockwell" w:cs="Calibri"/>
                <w:color w:val="000000"/>
                <w:sz w:val="21"/>
                <w:szCs w:val="21"/>
                <w:u w:val="single"/>
              </w:rPr>
              <w:t>$5,503.00</w:t>
            </w:r>
          </w:p>
        </w:tc>
      </w:tr>
    </w:tbl>
    <w:p w:rsidR="00260D3C" w:rsidRPr="00260D3C" w:rsidRDefault="00260D3C" w:rsidP="00260D3C">
      <w:pPr>
        <w:rPr>
          <w:rFonts w:ascii="Rockwell" w:hAnsi="Rockwell" w:cs="Calibri"/>
          <w:b/>
          <w:color w:val="000000"/>
          <w:sz w:val="21"/>
          <w:szCs w:val="21"/>
        </w:rPr>
      </w:pP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Pr>
          <w:rFonts w:ascii="Rockwell" w:hAnsi="Rockwell" w:cs="Arial"/>
          <w:sz w:val="22"/>
          <w:szCs w:val="22"/>
        </w:rPr>
        <w:tab/>
        <w:t xml:space="preserve">            </w:t>
      </w:r>
      <w:r w:rsidRPr="00260D3C">
        <w:rPr>
          <w:rFonts w:ascii="Rockwell" w:hAnsi="Rockwell" w:cs="Calibri"/>
          <w:b/>
          <w:color w:val="000000"/>
          <w:sz w:val="21"/>
          <w:szCs w:val="21"/>
        </w:rPr>
        <w:t>$</w:t>
      </w:r>
      <w:r w:rsidR="009E3635">
        <w:rPr>
          <w:rFonts w:ascii="Rockwell" w:hAnsi="Rockwell" w:cs="Calibri"/>
          <w:b/>
          <w:color w:val="000000"/>
          <w:sz w:val="21"/>
          <w:szCs w:val="21"/>
        </w:rPr>
        <w:t>239,801.95</w:t>
      </w:r>
    </w:p>
    <w:p w:rsidR="0033284C" w:rsidRPr="00C426BD" w:rsidRDefault="0033284C" w:rsidP="0033284C">
      <w:pPr>
        <w:tabs>
          <w:tab w:val="left" w:pos="7110"/>
          <w:tab w:val="left" w:pos="8640"/>
        </w:tabs>
        <w:rPr>
          <w:rFonts w:ascii="Rockwell" w:hAnsi="Rockwell" w:cs="Arial"/>
          <w:szCs w:val="24"/>
        </w:rPr>
      </w:pPr>
    </w:p>
    <w:p w:rsidR="0033284C" w:rsidRPr="00957AC6" w:rsidRDefault="0033284C" w:rsidP="0033284C">
      <w:pPr>
        <w:pBdr>
          <w:top w:val="nil"/>
          <w:left w:val="nil"/>
          <w:bottom w:val="nil"/>
          <w:right w:val="nil"/>
          <w:between w:val="nil"/>
        </w:pBdr>
        <w:spacing w:line="276" w:lineRule="auto"/>
        <w:contextualSpacing/>
        <w:rPr>
          <w:rFonts w:ascii="Rockwell" w:hAnsi="Rockwell" w:cs="Cambria"/>
          <w:szCs w:val="24"/>
          <w:u w:val="single"/>
        </w:rPr>
      </w:pPr>
      <w:r w:rsidRPr="00957AC6">
        <w:rPr>
          <w:rFonts w:ascii="Rockwell" w:hAnsi="Rockwell" w:cs="Arial"/>
          <w:b/>
          <w:szCs w:val="24"/>
          <w:u w:val="single"/>
        </w:rPr>
        <w:t>Director’s Report</w:t>
      </w:r>
    </w:p>
    <w:p w:rsidR="00B234AA" w:rsidRDefault="00B234AA" w:rsidP="00B234AA">
      <w:pPr>
        <w:ind w:firstLine="720"/>
        <w:rPr>
          <w:rFonts w:ascii="Rockwell" w:hAnsi="Rockwell"/>
        </w:rPr>
      </w:pPr>
      <w:r>
        <w:rPr>
          <w:rFonts w:ascii="Rockwell" w:hAnsi="Rockwell"/>
        </w:rPr>
        <w:t xml:space="preserve">As you all know, the library suffered a loss recently. Tracy Payne, Wendy’s husband, was diagnosed with cancer many years ago and passed away on March 1. Wendy will be off work for several weeks. Cassie is handling payroll and other duties in the meantime. </w:t>
      </w:r>
    </w:p>
    <w:p w:rsidR="00B234AA" w:rsidRDefault="00B234AA" w:rsidP="00B234AA">
      <w:pPr>
        <w:ind w:firstLine="720"/>
        <w:rPr>
          <w:rFonts w:ascii="Rockwell" w:hAnsi="Rockwell"/>
        </w:rPr>
      </w:pPr>
      <w:r>
        <w:rPr>
          <w:rFonts w:ascii="Rockwell" w:hAnsi="Rockwell"/>
        </w:rPr>
        <w:t xml:space="preserve">I received notice recently that I was chosen to participate in a Voinovich Center at Ohio University program called </w:t>
      </w:r>
      <w:r w:rsidRPr="00344A31">
        <w:rPr>
          <w:rFonts w:ascii="Rockwell" w:hAnsi="Rockwell"/>
          <w:i/>
        </w:rPr>
        <w:t>Leading in Appalachia 2024: Community Engagement</w:t>
      </w:r>
      <w:r>
        <w:rPr>
          <w:rFonts w:ascii="Rockwell" w:hAnsi="Rockwell"/>
        </w:rPr>
        <w:t>. The cohort includes participants from 16 Appalachian counties and meets monthly on campus through November. The first meeting is March 20 and will be every third Wednesday of the month after.</w:t>
      </w:r>
    </w:p>
    <w:p w:rsidR="00B234AA" w:rsidRDefault="00B234AA" w:rsidP="00B234AA">
      <w:pPr>
        <w:ind w:firstLine="720"/>
        <w:rPr>
          <w:rFonts w:ascii="Rockwell" w:hAnsi="Rockwell"/>
        </w:rPr>
      </w:pPr>
      <w:r>
        <w:rPr>
          <w:rFonts w:ascii="Rockwell" w:hAnsi="Rockwell"/>
        </w:rPr>
        <w:t xml:space="preserve">Public Libraries have been in the national news a lot lately. The CBS program </w:t>
      </w:r>
      <w:r w:rsidRPr="006E7CEB">
        <w:rPr>
          <w:rFonts w:ascii="Rockwell" w:hAnsi="Rockwell"/>
          <w:i/>
        </w:rPr>
        <w:t>60 Minutes</w:t>
      </w:r>
      <w:r>
        <w:rPr>
          <w:rFonts w:ascii="Rockwell" w:hAnsi="Rockwell"/>
        </w:rPr>
        <w:t xml:space="preserve"> recently did a piece on book banning in Beaufort County, South Carolina and Moms for Liberty. Most notably, if you watch the segment, you’ll recognize Cheilon Preston, CRCPL’s former Youth Services Manager. She didn’t speak on camera, but was present for the discussions at the school board meetings. The group was asking for 97 titles to be pulled from the shelves. Unfortunately, the school did ban 5 titles.</w:t>
      </w:r>
    </w:p>
    <w:p w:rsidR="00B234AA" w:rsidRDefault="00B234AA" w:rsidP="00B234AA">
      <w:pPr>
        <w:ind w:firstLine="720"/>
        <w:rPr>
          <w:rFonts w:ascii="Rockwell" w:hAnsi="Rockwell"/>
        </w:rPr>
      </w:pPr>
      <w:r>
        <w:rPr>
          <w:rFonts w:ascii="Rockwell" w:hAnsi="Rockwell"/>
        </w:rPr>
        <w:t>National Public Radio also recently ran a story about state legislatures (specifically Georgia this time) forcing libraries to “quit” the American Library Association. As our professional organization, that puts librarians in an awkward situation. ALA is the only library school accreditation network in the country.</w:t>
      </w:r>
    </w:p>
    <w:p w:rsidR="0033284C" w:rsidRPr="005C4422" w:rsidRDefault="00B234AA" w:rsidP="00B234AA">
      <w:pPr>
        <w:rPr>
          <w:rFonts w:ascii="Rockwell" w:hAnsi="Rockwell" w:cs="Arial"/>
          <w:b/>
          <w:bCs/>
        </w:rPr>
      </w:pPr>
      <w:r>
        <w:rPr>
          <w:rFonts w:ascii="Rockwell" w:hAnsi="Rockwell"/>
        </w:rPr>
        <w:t>There was also a recent column from an Orange County (CA) newspaper making the rounds on social media entitled, “Please Be Kind to Librarians, and Stop Politicizing Their Decision-making.” It was short piece worth reading. Here is my favorite line from the piece by Julia Walton:  Librarian are not responsible for your feelings about any of the books available in the system.</w:t>
      </w:r>
      <w:r w:rsidR="0033284C">
        <w:rPr>
          <w:rFonts w:ascii="Rockwell" w:hAnsi="Rockwell" w:cs="Cambria"/>
        </w:rPr>
        <w:tab/>
      </w:r>
    </w:p>
    <w:p w:rsidR="0033284C" w:rsidRPr="0036626A" w:rsidRDefault="0036626A" w:rsidP="0036626A">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tab/>
      </w:r>
      <w:r>
        <w:rPr>
          <w:rFonts w:ascii="Rockwell" w:hAnsi="Rockwell" w:cs="Arial"/>
          <w:szCs w:val="24"/>
          <w:lang w:val="x-none" w:eastAsia="x-none"/>
        </w:rPr>
        <w:tab/>
        <w:t xml:space="preserve">                                   </w:t>
      </w:r>
      <w:r>
        <w:rPr>
          <w:rFonts w:ascii="Rockwell" w:hAnsi="Rockwell" w:cs="Arial"/>
          <w:szCs w:val="24"/>
          <w:lang w:eastAsia="x-none"/>
        </w:rPr>
        <w:t xml:space="preserve">Board </w:t>
      </w:r>
      <w:r w:rsidRPr="004C542A">
        <w:rPr>
          <w:rFonts w:ascii="Rockwell" w:hAnsi="Rockwell" w:cs="Arial"/>
          <w:szCs w:val="24"/>
          <w:lang w:val="x-none" w:eastAsia="x-none"/>
        </w:rPr>
        <w:t>“</w:t>
      </w:r>
      <w:r>
        <w:rPr>
          <w:rFonts w:ascii="Rockwell" w:hAnsi="Rockwell" w:cs="Arial"/>
          <w:szCs w:val="24"/>
          <w:lang w:eastAsia="x-none"/>
        </w:rPr>
        <w:t>D</w:t>
      </w:r>
      <w:r w:rsidRPr="004C542A">
        <w:rPr>
          <w:rFonts w:ascii="Rockwell" w:hAnsi="Rockwell" w:cs="Arial"/>
          <w:szCs w:val="24"/>
          <w:lang w:eastAsia="x-none"/>
        </w:rPr>
        <w:t>”</w:t>
      </w: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Pr>
          <w:rFonts w:ascii="Rockwell" w:hAnsi="Rockwell" w:cs="Arial"/>
          <w:szCs w:val="24"/>
          <w:lang w:eastAsia="x-none"/>
        </w:rPr>
        <w:t xml:space="preserve">                                          </w:t>
      </w:r>
      <w:r>
        <w:rPr>
          <w:rFonts w:ascii="Rockwell" w:hAnsi="Rockwell" w:cs="Arial"/>
          <w:szCs w:val="24"/>
          <w:lang w:val="x-none" w:eastAsia="x-none"/>
        </w:rPr>
        <w:t xml:space="preserve">   </w:t>
      </w:r>
      <w:r>
        <w:rPr>
          <w:rFonts w:ascii="Rockwell" w:hAnsi="Rockwell" w:cs="Arial"/>
          <w:szCs w:val="24"/>
          <w:lang w:eastAsia="x-none"/>
        </w:rPr>
        <w:t>Resolution 15-24</w:t>
      </w:r>
    </w:p>
    <w:p w:rsidR="0033284C" w:rsidRPr="006A738B" w:rsidRDefault="00C30D78" w:rsidP="0033284C">
      <w:pPr>
        <w:tabs>
          <w:tab w:val="left" w:pos="2160"/>
          <w:tab w:val="left" w:pos="7200"/>
          <w:tab w:val="left" w:pos="8640"/>
        </w:tabs>
        <w:rPr>
          <w:rFonts w:ascii="Rockwell" w:hAnsi="Rockwell" w:cs="Arial"/>
          <w:bCs/>
          <w:szCs w:val="24"/>
        </w:rPr>
      </w:pPr>
      <w:r>
        <w:rPr>
          <w:rFonts w:ascii="Rockwell" w:hAnsi="Rockwell" w:cs="Arial"/>
          <w:b/>
          <w:bCs/>
          <w:szCs w:val="24"/>
          <w:u w:val="single"/>
        </w:rPr>
        <w:t>Cancel</w:t>
      </w:r>
      <w:r w:rsidR="00D80A70">
        <w:rPr>
          <w:rFonts w:ascii="Rockwell" w:hAnsi="Rockwell" w:cs="Arial"/>
          <w:b/>
          <w:bCs/>
          <w:szCs w:val="24"/>
          <w:u w:val="single"/>
        </w:rPr>
        <w:t xml:space="preserve"> April Board Meeting</w:t>
      </w:r>
    </w:p>
    <w:p w:rsidR="0033284C" w:rsidRPr="00C30D78" w:rsidRDefault="00C30D78" w:rsidP="00C30D78">
      <w:pPr>
        <w:tabs>
          <w:tab w:val="left" w:pos="2160"/>
          <w:tab w:val="left" w:pos="7200"/>
          <w:tab w:val="left" w:pos="8640"/>
        </w:tabs>
        <w:rPr>
          <w:rFonts w:ascii="Rockwell" w:hAnsi="Rockwell"/>
          <w:b/>
          <w:bCs/>
          <w:szCs w:val="24"/>
          <w:u w:val="single"/>
        </w:rPr>
      </w:pPr>
      <w:r>
        <w:rPr>
          <w:rFonts w:ascii="Rockwell" w:hAnsi="Rockwell"/>
          <w:bCs/>
          <w:szCs w:val="24"/>
        </w:rPr>
        <w:t>A.</w:t>
      </w:r>
      <w:r w:rsidRPr="00C30D78">
        <w:rPr>
          <w:rFonts w:ascii="Rockwell" w:hAnsi="Rockwell"/>
          <w:bCs/>
          <w:szCs w:val="24"/>
        </w:rPr>
        <w:t>Hirsch</w:t>
      </w:r>
      <w:r w:rsidR="0033284C" w:rsidRPr="00C30D78">
        <w:rPr>
          <w:rFonts w:ascii="Rockwell" w:hAnsi="Rockwell"/>
          <w:bCs/>
          <w:szCs w:val="24"/>
        </w:rPr>
        <w:t xml:space="preserve"> </w:t>
      </w:r>
      <w:r w:rsidR="0033284C" w:rsidRPr="00C30D78">
        <w:rPr>
          <w:rFonts w:ascii="Rockwell" w:hAnsi="Rockwell"/>
          <w:szCs w:val="24"/>
        </w:rPr>
        <w:t xml:space="preserve">moved and </w:t>
      </w:r>
      <w:r w:rsidRPr="00C30D78">
        <w:rPr>
          <w:rFonts w:ascii="Rockwell" w:hAnsi="Rockwell"/>
          <w:szCs w:val="24"/>
        </w:rPr>
        <w:softHyphen/>
      </w:r>
      <w:r w:rsidRPr="00C30D78">
        <w:rPr>
          <w:rFonts w:ascii="Rockwell" w:hAnsi="Rockwell"/>
          <w:szCs w:val="24"/>
        </w:rPr>
        <w:softHyphen/>
      </w:r>
      <w:r w:rsidRPr="00C30D78">
        <w:rPr>
          <w:rFonts w:ascii="Rockwell" w:hAnsi="Rockwell"/>
          <w:szCs w:val="24"/>
        </w:rPr>
        <w:softHyphen/>
      </w:r>
      <w:r w:rsidRPr="00C30D78">
        <w:rPr>
          <w:rFonts w:ascii="Rockwell" w:hAnsi="Rockwell"/>
          <w:szCs w:val="24"/>
        </w:rPr>
        <w:softHyphen/>
      </w:r>
      <w:r w:rsidRPr="00C30D78">
        <w:rPr>
          <w:rFonts w:ascii="Rockwell" w:hAnsi="Rockwell"/>
          <w:szCs w:val="24"/>
        </w:rPr>
        <w:softHyphen/>
        <w:t>A</w:t>
      </w:r>
      <w:r>
        <w:rPr>
          <w:rFonts w:ascii="Rockwell" w:hAnsi="Rockwell"/>
          <w:szCs w:val="24"/>
        </w:rPr>
        <w:t>. Oyer</w:t>
      </w:r>
      <w:r w:rsidRPr="00C30D78">
        <w:rPr>
          <w:rFonts w:ascii="Rockwell" w:hAnsi="Rockwell"/>
          <w:szCs w:val="24"/>
        </w:rPr>
        <w:t xml:space="preserve"> </w:t>
      </w:r>
      <w:r w:rsidR="0033284C" w:rsidRPr="00C30D78">
        <w:rPr>
          <w:rFonts w:ascii="Rockwell" w:hAnsi="Rockwell"/>
          <w:szCs w:val="24"/>
        </w:rPr>
        <w:t>seconded the adopt</w:t>
      </w:r>
      <w:r w:rsidR="00E543D5" w:rsidRPr="00C30D78">
        <w:rPr>
          <w:rFonts w:ascii="Rockwell" w:hAnsi="Rockwell"/>
          <w:szCs w:val="24"/>
        </w:rPr>
        <w:t>ion of the following resolution:</w:t>
      </w:r>
    </w:p>
    <w:p w:rsidR="0033284C" w:rsidRDefault="00224141" w:rsidP="00C30D78">
      <w:pPr>
        <w:tabs>
          <w:tab w:val="left" w:pos="7110"/>
          <w:tab w:val="left" w:pos="8640"/>
        </w:tabs>
        <w:rPr>
          <w:rFonts w:ascii="Rockwell" w:hAnsi="Rockwell" w:cs="Arial"/>
          <w:szCs w:val="24"/>
        </w:rPr>
      </w:pPr>
      <w:r w:rsidRPr="002B4C75">
        <w:rPr>
          <w:rFonts w:ascii="Rockwell" w:hAnsi="Rockwell" w:cs="Arial"/>
          <w:szCs w:val="24"/>
        </w:rPr>
        <w:t xml:space="preserve">That the April, 2024 Board Meeting be </w:t>
      </w:r>
      <w:r w:rsidR="00C30D78">
        <w:rPr>
          <w:rFonts w:ascii="Rockwell" w:hAnsi="Rockwell" w:cs="Arial"/>
          <w:szCs w:val="24"/>
        </w:rPr>
        <w:t xml:space="preserve">canceled. </w:t>
      </w:r>
    </w:p>
    <w:p w:rsidR="00C30D78" w:rsidRPr="008C50DA" w:rsidRDefault="00C30D78" w:rsidP="00C30D78">
      <w:pPr>
        <w:tabs>
          <w:tab w:val="left" w:pos="7110"/>
          <w:tab w:val="left" w:pos="8640"/>
        </w:tabs>
        <w:rPr>
          <w:rFonts w:ascii="Rockwell" w:hAnsi="Rockwell" w:cs="Arial"/>
          <w:bCs/>
          <w:szCs w:val="24"/>
        </w:rPr>
      </w:pPr>
    </w:p>
    <w:p w:rsidR="0033284C" w:rsidRDefault="0033284C" w:rsidP="0033284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33284C" w:rsidRDefault="0033284C" w:rsidP="0033284C">
      <w:pPr>
        <w:tabs>
          <w:tab w:val="left" w:pos="2160"/>
          <w:tab w:val="left" w:pos="7200"/>
          <w:tab w:val="left" w:pos="8640"/>
        </w:tabs>
        <w:rPr>
          <w:rFonts w:ascii="Rockwell" w:hAnsi="Rockwell" w:cs="Arial"/>
          <w:bCs/>
          <w:szCs w:val="24"/>
        </w:rPr>
      </w:pPr>
    </w:p>
    <w:p w:rsidR="001777F4" w:rsidRPr="00224141" w:rsidRDefault="00D80A70" w:rsidP="0033284C">
      <w:pPr>
        <w:tabs>
          <w:tab w:val="left" w:pos="2160"/>
          <w:tab w:val="left" w:pos="7200"/>
          <w:tab w:val="left" w:pos="8640"/>
        </w:tabs>
        <w:rPr>
          <w:rFonts w:ascii="Rockwell" w:hAnsi="Rockwell" w:cs="Arial"/>
          <w:b/>
          <w:bCs/>
          <w:szCs w:val="24"/>
        </w:rPr>
      </w:pPr>
      <w:r w:rsidRPr="00224141">
        <w:rPr>
          <w:rFonts w:ascii="Rockwell" w:hAnsi="Rockwell" w:cs="Arial"/>
          <w:b/>
          <w:bCs/>
          <w:szCs w:val="24"/>
        </w:rPr>
        <w:t>2024 Permanent Appropriations</w:t>
      </w:r>
      <w:r w:rsidR="00224141">
        <w:rPr>
          <w:rFonts w:ascii="Rockwell" w:hAnsi="Rockwell" w:cs="Arial"/>
          <w:b/>
          <w:bCs/>
          <w:szCs w:val="24"/>
        </w:rPr>
        <w:t xml:space="preserve"> </w:t>
      </w:r>
      <w:r w:rsidR="00960936">
        <w:rPr>
          <w:rFonts w:ascii="Rockwell" w:hAnsi="Rockwell" w:cs="Arial"/>
          <w:bCs/>
          <w:szCs w:val="24"/>
        </w:rPr>
        <w:t xml:space="preserve">There were </w:t>
      </w:r>
      <w:r w:rsidR="0060420C">
        <w:rPr>
          <w:rFonts w:ascii="Rockwell" w:hAnsi="Rockwell" w:cs="Arial"/>
          <w:bCs/>
          <w:szCs w:val="24"/>
        </w:rPr>
        <w:t xml:space="preserve">only a </w:t>
      </w:r>
      <w:r w:rsidR="00960936">
        <w:rPr>
          <w:rFonts w:ascii="Rockwell" w:hAnsi="Rockwell" w:cs="Arial"/>
          <w:bCs/>
          <w:szCs w:val="24"/>
        </w:rPr>
        <w:t xml:space="preserve">few </w:t>
      </w:r>
      <w:r w:rsidR="00A8775C">
        <w:rPr>
          <w:rFonts w:ascii="Rockwell" w:hAnsi="Rockwell" w:cs="Arial"/>
          <w:bCs/>
          <w:szCs w:val="24"/>
        </w:rPr>
        <w:t xml:space="preserve">expense </w:t>
      </w:r>
      <w:r w:rsidR="00960936">
        <w:rPr>
          <w:rFonts w:ascii="Rockwell" w:hAnsi="Rockwell" w:cs="Arial"/>
          <w:bCs/>
          <w:szCs w:val="24"/>
        </w:rPr>
        <w:t xml:space="preserve">changes from the Temporary Appropriations passed in December. </w:t>
      </w:r>
      <w:r w:rsidR="00A8775C">
        <w:rPr>
          <w:rFonts w:ascii="Rockwell" w:hAnsi="Rockwell" w:cs="Arial"/>
          <w:bCs/>
          <w:szCs w:val="24"/>
        </w:rPr>
        <w:t>Our reven</w:t>
      </w:r>
      <w:r w:rsidR="00826A8A">
        <w:rPr>
          <w:rFonts w:ascii="Rockwell" w:hAnsi="Rockwell" w:cs="Arial"/>
          <w:bCs/>
          <w:szCs w:val="24"/>
        </w:rPr>
        <w:t xml:space="preserve">ues increased </w:t>
      </w:r>
      <w:r w:rsidR="00826A8A">
        <w:rPr>
          <w:rFonts w:ascii="Rockwell" w:hAnsi="Rockwell" w:cs="Arial"/>
          <w:bCs/>
          <w:szCs w:val="24"/>
        </w:rPr>
        <w:lastRenderedPageBreak/>
        <w:t>$504,555.22, primarily</w:t>
      </w:r>
      <w:r w:rsidR="00A8775C">
        <w:rPr>
          <w:rFonts w:ascii="Rockwell" w:hAnsi="Rockwell" w:cs="Arial"/>
          <w:bCs/>
          <w:szCs w:val="24"/>
        </w:rPr>
        <w:t xml:space="preserve"> </w:t>
      </w:r>
      <w:r w:rsidR="00826A8A">
        <w:rPr>
          <w:rFonts w:ascii="Rockwell" w:hAnsi="Rockwell" w:cs="Arial"/>
          <w:bCs/>
          <w:szCs w:val="24"/>
        </w:rPr>
        <w:t>from</w:t>
      </w:r>
      <w:r w:rsidR="00A8775C">
        <w:rPr>
          <w:rFonts w:ascii="Rockwell" w:hAnsi="Rockwell" w:cs="Arial"/>
          <w:bCs/>
          <w:szCs w:val="24"/>
        </w:rPr>
        <w:t xml:space="preserve"> higher carryover from last year. The majority of that increase is going toward our year-end Building Fund transfer and Contingencies. Sick Leave payouts and salaries were also updated to reflect rece</w:t>
      </w:r>
      <w:r w:rsidR="00224141">
        <w:rPr>
          <w:rFonts w:ascii="Rockwell" w:hAnsi="Rockwell" w:cs="Arial"/>
          <w:bCs/>
          <w:szCs w:val="24"/>
        </w:rPr>
        <w:t>nt board action</w:t>
      </w:r>
      <w:r w:rsidR="00A8775C">
        <w:rPr>
          <w:rFonts w:ascii="Rockwell" w:hAnsi="Rockwell" w:cs="Arial"/>
          <w:bCs/>
          <w:szCs w:val="24"/>
        </w:rPr>
        <w:t xml:space="preserve">. </w:t>
      </w:r>
      <w:r w:rsidR="00960936">
        <w:rPr>
          <w:rFonts w:ascii="Rockwell" w:hAnsi="Rockwell" w:cs="Arial"/>
          <w:bCs/>
          <w:szCs w:val="24"/>
        </w:rPr>
        <w:t xml:space="preserve">The full line-item detail is available on the board page. </w:t>
      </w:r>
      <w:r w:rsidR="001777F4">
        <w:rPr>
          <w:rFonts w:ascii="Rockwell" w:hAnsi="Rockwell" w:cs="Arial"/>
          <w:bCs/>
          <w:szCs w:val="24"/>
        </w:rPr>
        <w:tab/>
      </w:r>
    </w:p>
    <w:p w:rsidR="001777F4" w:rsidRPr="001777F4" w:rsidRDefault="001777F4" w:rsidP="001777F4">
      <w:pPr>
        <w:tabs>
          <w:tab w:val="left" w:pos="2160"/>
          <w:tab w:val="left" w:pos="7200"/>
          <w:tab w:val="left" w:pos="8640"/>
        </w:tabs>
        <w:rPr>
          <w:rFonts w:ascii="Rockwell" w:hAnsi="Rockwell" w:cs="Arial"/>
          <w:bCs/>
          <w:szCs w:val="24"/>
        </w:rPr>
      </w:pPr>
      <w:r>
        <w:rPr>
          <w:rFonts w:ascii="Rockwell" w:hAnsi="Rockwell" w:cs="Arial"/>
          <w:bCs/>
          <w:szCs w:val="24"/>
        </w:rPr>
        <w:tab/>
      </w:r>
      <w:r>
        <w:rPr>
          <w:rFonts w:ascii="Rockwell" w:hAnsi="Rockwell" w:cs="Arial"/>
          <w:bCs/>
          <w:szCs w:val="24"/>
        </w:rPr>
        <w:tab/>
        <w:t>Gen. Fin</w:t>
      </w:r>
      <w:r w:rsidRPr="001777F4">
        <w:rPr>
          <w:rFonts w:ascii="Rockwell" w:hAnsi="Rockwell" w:cs="Arial"/>
          <w:bCs/>
          <w:szCs w:val="24"/>
        </w:rPr>
        <w:t>. “A”</w:t>
      </w:r>
    </w:p>
    <w:p w:rsidR="00E24751" w:rsidRDefault="001777F4" w:rsidP="001777F4">
      <w:pPr>
        <w:tabs>
          <w:tab w:val="left" w:pos="2160"/>
          <w:tab w:val="left" w:pos="7200"/>
          <w:tab w:val="left" w:pos="8640"/>
        </w:tabs>
        <w:rPr>
          <w:rFonts w:ascii="Rockwell" w:hAnsi="Rockwell" w:cs="Arial"/>
          <w:bCs/>
          <w:szCs w:val="24"/>
        </w:rPr>
      </w:pPr>
      <w:r w:rsidRPr="001777F4">
        <w:rPr>
          <w:rFonts w:ascii="Rockwell" w:hAnsi="Rockwell" w:cs="Arial"/>
          <w:bCs/>
          <w:szCs w:val="24"/>
        </w:rPr>
        <w:tab/>
        <w:t xml:space="preserve"> </w:t>
      </w:r>
      <w:r>
        <w:rPr>
          <w:rFonts w:ascii="Rockwell" w:hAnsi="Rockwell" w:cs="Arial"/>
          <w:bCs/>
          <w:szCs w:val="24"/>
        </w:rPr>
        <w:tab/>
      </w:r>
      <w:r w:rsidRPr="001777F4">
        <w:rPr>
          <w:rFonts w:ascii="Rockwell" w:hAnsi="Rockwell" w:cs="Arial"/>
          <w:bCs/>
          <w:szCs w:val="24"/>
        </w:rPr>
        <w:t xml:space="preserve">Resolution </w:t>
      </w:r>
      <w:r w:rsidR="004A3B78">
        <w:rPr>
          <w:rFonts w:ascii="Rockwell" w:hAnsi="Rockwell" w:cs="Arial"/>
          <w:bCs/>
          <w:szCs w:val="24"/>
        </w:rPr>
        <w:t>16</w:t>
      </w:r>
      <w:r w:rsidRPr="001777F4">
        <w:rPr>
          <w:rFonts w:ascii="Rockwell" w:hAnsi="Rockwell" w:cs="Arial"/>
          <w:bCs/>
          <w:szCs w:val="24"/>
        </w:rPr>
        <w:t>-24</w:t>
      </w:r>
    </w:p>
    <w:p w:rsidR="00224141" w:rsidRDefault="00224141" w:rsidP="001777F4">
      <w:pPr>
        <w:tabs>
          <w:tab w:val="left" w:pos="2160"/>
          <w:tab w:val="left" w:pos="7200"/>
          <w:tab w:val="left" w:pos="8640"/>
        </w:tabs>
        <w:rPr>
          <w:rFonts w:ascii="Rockwell" w:hAnsi="Rockwell" w:cs="Arial"/>
          <w:b/>
          <w:bCs/>
          <w:szCs w:val="24"/>
          <w:u w:val="single"/>
        </w:rPr>
      </w:pPr>
      <w:r>
        <w:rPr>
          <w:rFonts w:ascii="Rockwell" w:hAnsi="Rockwell" w:cs="Arial"/>
          <w:b/>
          <w:bCs/>
          <w:szCs w:val="24"/>
          <w:u w:val="single"/>
        </w:rPr>
        <w:t>2024 Permanent Appropriations Resolution</w:t>
      </w:r>
    </w:p>
    <w:p w:rsidR="00BC2A34" w:rsidRPr="00224141" w:rsidRDefault="00C30D78" w:rsidP="001777F4">
      <w:pPr>
        <w:tabs>
          <w:tab w:val="left" w:pos="2160"/>
          <w:tab w:val="left" w:pos="7200"/>
          <w:tab w:val="left" w:pos="8640"/>
        </w:tabs>
        <w:rPr>
          <w:rFonts w:ascii="Rockwell" w:hAnsi="Rockwell" w:cs="Arial"/>
          <w:b/>
          <w:bCs/>
          <w:szCs w:val="24"/>
          <w:u w:val="single"/>
        </w:rPr>
      </w:pPr>
      <w:r>
        <w:rPr>
          <w:rFonts w:ascii="Rockwell" w:hAnsi="Rockwell"/>
          <w:bCs/>
          <w:szCs w:val="24"/>
        </w:rPr>
        <w:t xml:space="preserve">L. Graves </w:t>
      </w:r>
      <w:r w:rsidR="00BC2A34" w:rsidRPr="006A738B">
        <w:rPr>
          <w:rFonts w:ascii="Rockwell" w:hAnsi="Rockwell"/>
          <w:szCs w:val="24"/>
        </w:rPr>
        <w:t xml:space="preserve">moved and </w:t>
      </w:r>
      <w:r>
        <w:rPr>
          <w:rFonts w:ascii="Rockwell" w:hAnsi="Rockwell"/>
          <w:szCs w:val="24"/>
        </w:rPr>
        <w:softHyphen/>
      </w:r>
      <w:r>
        <w:rPr>
          <w:rFonts w:ascii="Rockwell" w:hAnsi="Rockwell"/>
          <w:szCs w:val="24"/>
        </w:rPr>
        <w:softHyphen/>
      </w:r>
      <w:r>
        <w:rPr>
          <w:rFonts w:ascii="Rockwell" w:hAnsi="Rockwell"/>
          <w:szCs w:val="24"/>
        </w:rPr>
        <w:softHyphen/>
      </w:r>
      <w:r>
        <w:rPr>
          <w:rFonts w:ascii="Rockwell" w:hAnsi="Rockwell"/>
          <w:szCs w:val="24"/>
        </w:rPr>
        <w:softHyphen/>
      </w:r>
      <w:r>
        <w:rPr>
          <w:rFonts w:ascii="Rockwell" w:hAnsi="Rockwell"/>
          <w:szCs w:val="24"/>
        </w:rPr>
        <w:softHyphen/>
        <w:t>A. Oyer</w:t>
      </w:r>
      <w:r w:rsidR="00BC2A34" w:rsidRPr="006A738B">
        <w:rPr>
          <w:rFonts w:ascii="Rockwell" w:hAnsi="Rockwell"/>
          <w:szCs w:val="24"/>
        </w:rPr>
        <w:t xml:space="preserve"> seconded the adoption of the following resolution</w:t>
      </w:r>
      <w:r w:rsidR="00BC2A34">
        <w:rPr>
          <w:rFonts w:ascii="Rockwell" w:hAnsi="Rockwell"/>
          <w:szCs w:val="24"/>
        </w:rPr>
        <w:t>:</w:t>
      </w:r>
    </w:p>
    <w:p w:rsidR="00E24751" w:rsidRDefault="00E24751" w:rsidP="0033284C">
      <w:pPr>
        <w:tabs>
          <w:tab w:val="left" w:pos="2160"/>
          <w:tab w:val="left" w:pos="7200"/>
          <w:tab w:val="left" w:pos="8640"/>
        </w:tabs>
        <w:rPr>
          <w:rFonts w:ascii="Rockwell" w:hAnsi="Rockwell" w:cs="Arial"/>
          <w:bCs/>
          <w:szCs w:val="24"/>
        </w:rPr>
      </w:pPr>
      <w:r w:rsidRPr="00224141">
        <w:rPr>
          <w:rFonts w:ascii="Rockwell" w:hAnsi="Rockwell" w:cs="Arial"/>
          <w:bCs/>
          <w:szCs w:val="24"/>
        </w:rPr>
        <w:t>BE IT RESOLVED</w:t>
      </w:r>
      <w:r w:rsidRPr="00E24751">
        <w:rPr>
          <w:rFonts w:ascii="Rockwell" w:hAnsi="Rockwell" w:cs="Arial"/>
          <w:bCs/>
          <w:szCs w:val="24"/>
        </w:rPr>
        <w:t xml:space="preserve"> by the Board of Library Trustees of the Chillicothe and Ross County Public Library, Ross County, Ohio that to provide for the current expenses and other expenditures of said Board of Library Trustees, during the fiscal </w:t>
      </w:r>
      <w:r w:rsidR="001777F4">
        <w:rPr>
          <w:rFonts w:ascii="Rockwell" w:hAnsi="Rockwell" w:cs="Arial"/>
          <w:bCs/>
          <w:szCs w:val="24"/>
        </w:rPr>
        <w:t>year, ending December 31st, 2024</w:t>
      </w:r>
      <w:r w:rsidRPr="00E24751">
        <w:rPr>
          <w:rFonts w:ascii="Rockwell" w:hAnsi="Rockwell" w:cs="Arial"/>
          <w:bCs/>
          <w:szCs w:val="24"/>
        </w:rPr>
        <w:t>, the following sums be and the same are hereby set aside and appropriated for the several purposes for which expenditures are to be made for and during said fiscal year, as follows, viz:</w:t>
      </w:r>
    </w:p>
    <w:p w:rsidR="00E24751" w:rsidRDefault="00E24751" w:rsidP="0033284C">
      <w:pPr>
        <w:tabs>
          <w:tab w:val="left" w:pos="2160"/>
          <w:tab w:val="left" w:pos="7200"/>
          <w:tab w:val="left" w:pos="8640"/>
        </w:tabs>
        <w:rPr>
          <w:rFonts w:ascii="Rockwell" w:hAnsi="Rockwell" w:cs="Arial"/>
          <w:bCs/>
          <w:szCs w:val="24"/>
        </w:rPr>
      </w:pPr>
    </w:p>
    <w:p w:rsidR="00E24751" w:rsidRPr="00E24751" w:rsidRDefault="00E24751" w:rsidP="00E24751">
      <w:pPr>
        <w:tabs>
          <w:tab w:val="left" w:pos="2160"/>
          <w:tab w:val="left" w:pos="7200"/>
          <w:tab w:val="left" w:pos="8640"/>
        </w:tabs>
        <w:rPr>
          <w:rFonts w:ascii="Rockwell" w:hAnsi="Rockwell" w:cs="Arial"/>
          <w:bCs/>
          <w:szCs w:val="24"/>
        </w:rPr>
      </w:pPr>
      <w:r w:rsidRPr="00E24751">
        <w:rPr>
          <w:rFonts w:ascii="Rockwell" w:hAnsi="Rockwell" w:cs="Arial"/>
          <w:bCs/>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E24751" w:rsidRPr="00960936" w:rsidRDefault="00E24751" w:rsidP="00E24751">
      <w:pPr>
        <w:tabs>
          <w:tab w:val="left" w:pos="2160"/>
          <w:tab w:val="left" w:pos="7200"/>
          <w:tab w:val="left" w:pos="8640"/>
        </w:tabs>
        <w:rPr>
          <w:rFonts w:ascii="Rockwell" w:hAnsi="Rockwell" w:cs="Arial"/>
          <w:bCs/>
          <w:szCs w:val="24"/>
        </w:rPr>
      </w:pPr>
      <w:r w:rsidRPr="00E24751">
        <w:rPr>
          <w:rFonts w:ascii="Rockwell" w:hAnsi="Rockwell" w:cs="Arial"/>
          <w:bCs/>
          <w:szCs w:val="24"/>
        </w:rPr>
        <w:t xml:space="preserve">                       </w:t>
      </w:r>
    </w:p>
    <w:tbl>
      <w:tblPr>
        <w:tblW w:w="9360" w:type="dxa"/>
        <w:tblLook w:val="04A0" w:firstRow="1" w:lastRow="0" w:firstColumn="1" w:lastColumn="0" w:noHBand="0" w:noVBand="1"/>
      </w:tblPr>
      <w:tblGrid>
        <w:gridCol w:w="223"/>
        <w:gridCol w:w="4975"/>
        <w:gridCol w:w="266"/>
        <w:gridCol w:w="1901"/>
        <w:gridCol w:w="1995"/>
      </w:tblGrid>
      <w:tr w:rsidR="00960936" w:rsidRPr="00960936" w:rsidTr="00E67931">
        <w:trPr>
          <w:trHeight w:val="162"/>
        </w:trPr>
        <w:tc>
          <w:tcPr>
            <w:tcW w:w="9360" w:type="dxa"/>
            <w:gridSpan w:val="5"/>
            <w:tcBorders>
              <w:top w:val="nil"/>
              <w:left w:val="nil"/>
              <w:bottom w:val="nil"/>
              <w:right w:val="nil"/>
            </w:tcBorders>
            <w:shd w:val="clear" w:color="auto" w:fill="auto"/>
            <w:noWrap/>
            <w:vAlign w:val="bottom"/>
            <w:hideMark/>
          </w:tcPr>
          <w:p w:rsidR="00960936" w:rsidRPr="00960936" w:rsidRDefault="00960936" w:rsidP="00960936">
            <w:pPr>
              <w:jc w:val="center"/>
              <w:rPr>
                <w:rFonts w:ascii="Calibri" w:hAnsi="Calibri" w:cs="Calibri"/>
                <w:b/>
                <w:bCs/>
                <w:color w:val="000000"/>
                <w:sz w:val="22"/>
                <w:szCs w:val="22"/>
                <w:u w:val="single"/>
              </w:rPr>
            </w:pPr>
            <w:r w:rsidRPr="00960936">
              <w:rPr>
                <w:rFonts w:ascii="Calibri" w:hAnsi="Calibri" w:cs="Calibri"/>
                <w:b/>
                <w:bCs/>
                <w:color w:val="000000"/>
                <w:sz w:val="22"/>
                <w:szCs w:val="22"/>
                <w:u w:val="single"/>
              </w:rPr>
              <w:t>GENERAL FUND - 1000</w:t>
            </w: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Salaries &amp;  Benefits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100 - Salaries </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2,394,100.00 </w:t>
            </w: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200 - Employee Fringe Benefits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1,075,550.00 </w:t>
            </w: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Total Salaries &amp; Benefits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3,469,650.00 </w:t>
            </w:r>
          </w:p>
        </w:tc>
      </w:tr>
      <w:tr w:rsidR="00960936" w:rsidRPr="00960936" w:rsidTr="00E67931">
        <w:trPr>
          <w:trHeight w:val="98"/>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Purchased &amp; Contracted Services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300 - Purchased &amp; Contracted Services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1,155,675.00 </w:t>
            </w:r>
          </w:p>
        </w:tc>
      </w:tr>
      <w:tr w:rsidR="00960936" w:rsidRPr="00960936" w:rsidTr="00E67931">
        <w:trPr>
          <w:trHeight w:val="7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Library Materials &amp; Information</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410 - Library Materials &amp; Information</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599,350.00 </w:t>
            </w:r>
          </w:p>
        </w:tc>
      </w:tr>
      <w:tr w:rsidR="00960936" w:rsidRPr="00960936" w:rsidTr="00E67931">
        <w:trPr>
          <w:trHeight w:val="7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Supplies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450 - Supplies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165,975.00 </w:t>
            </w:r>
          </w:p>
        </w:tc>
      </w:tr>
      <w:tr w:rsidR="00960936" w:rsidRPr="00960936" w:rsidTr="00E67931">
        <w:trPr>
          <w:trHeight w:val="7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 xml:space="preserve">Other        </w:t>
            </w:r>
            <w:r w:rsidRPr="00960936">
              <w:rPr>
                <w:rFonts w:ascii="Calibri" w:hAnsi="Calibri" w:cs="Calibri"/>
                <w:b/>
                <w:bCs/>
                <w:color w:val="000000"/>
                <w:sz w:val="18"/>
                <w:szCs w:val="18"/>
              </w:rPr>
              <w:t xml:space="preserve"> (Dues</w:t>
            </w:r>
            <w:r w:rsidR="00A8775C">
              <w:rPr>
                <w:rFonts w:ascii="Calibri" w:hAnsi="Calibri" w:cs="Calibri"/>
                <w:b/>
                <w:bCs/>
                <w:color w:val="000000"/>
                <w:sz w:val="18"/>
                <w:szCs w:val="18"/>
              </w:rPr>
              <w:t>/Memberships/Taxes</w:t>
            </w:r>
            <w:r w:rsidRPr="00960936">
              <w:rPr>
                <w:rFonts w:ascii="Calibri" w:hAnsi="Calibri" w:cs="Calibri"/>
                <w:b/>
                <w:bCs/>
                <w:color w:val="000000"/>
                <w:sz w:val="18"/>
                <w:szCs w:val="18"/>
              </w:rPr>
              <w:t>/Refunds &amp; Reimb)</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E67931">
        <w:trPr>
          <w:trHeight w:val="18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500 - Other</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20,650.00 </w:t>
            </w:r>
          </w:p>
        </w:tc>
      </w:tr>
      <w:tr w:rsidR="00960936" w:rsidRPr="00960936" w:rsidTr="00E67931">
        <w:trPr>
          <w:trHeight w:val="7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Capital Outlay</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700 - Capital Outlay</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472,045.00 </w:t>
            </w:r>
          </w:p>
        </w:tc>
      </w:tr>
      <w:tr w:rsidR="00960936" w:rsidRPr="00960936" w:rsidTr="00E67931">
        <w:trPr>
          <w:trHeight w:val="7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Other Financing Uses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910 - Transfers Out</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w:t>
            </w:r>
            <w:r w:rsidR="001777F4">
              <w:rPr>
                <w:rFonts w:ascii="Calibri" w:hAnsi="Calibri" w:cs="Calibri"/>
                <w:color w:val="000000"/>
                <w:sz w:val="22"/>
                <w:szCs w:val="22"/>
              </w:rPr>
              <w:t xml:space="preserve"> </w:t>
            </w:r>
            <w:r w:rsidRPr="00960936">
              <w:rPr>
                <w:rFonts w:ascii="Calibri" w:hAnsi="Calibri" w:cs="Calibri"/>
                <w:color w:val="000000"/>
                <w:sz w:val="22"/>
                <w:szCs w:val="22"/>
              </w:rPr>
              <w:t xml:space="preserve">$    1,038,034.22 </w:t>
            </w: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930 - Contingencies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1777F4">
            <w:pPr>
              <w:jc w:val="center"/>
              <w:rPr>
                <w:rFonts w:ascii="Calibri" w:hAnsi="Calibri" w:cs="Calibri"/>
                <w:color w:val="000000"/>
                <w:sz w:val="22"/>
                <w:szCs w:val="22"/>
              </w:rPr>
            </w:pPr>
            <w:r w:rsidRPr="00960936">
              <w:rPr>
                <w:rFonts w:ascii="Calibri" w:hAnsi="Calibri" w:cs="Calibri"/>
                <w:color w:val="000000"/>
                <w:sz w:val="22"/>
                <w:szCs w:val="22"/>
              </w:rPr>
              <w:t xml:space="preserve">$       214,000.00 </w:t>
            </w:r>
          </w:p>
        </w:tc>
        <w:tc>
          <w:tcPr>
            <w:tcW w:w="1996" w:type="dxa"/>
            <w:tcBorders>
              <w:top w:val="nil"/>
              <w:left w:val="nil"/>
              <w:bottom w:val="nil"/>
              <w:right w:val="nil"/>
            </w:tcBorders>
            <w:shd w:val="clear" w:color="auto" w:fill="auto"/>
            <w:noWrap/>
            <w:vAlign w:val="bottom"/>
            <w:hideMark/>
          </w:tcPr>
          <w:p w:rsidR="00960936" w:rsidRPr="00960936" w:rsidRDefault="00960936" w:rsidP="00960936">
            <w:pPr>
              <w:jc w:val="right"/>
              <w:rPr>
                <w:rFonts w:ascii="Calibri" w:hAnsi="Calibri" w:cs="Calibri"/>
                <w:color w:val="000000"/>
                <w:sz w:val="22"/>
                <w:szCs w:val="22"/>
              </w:rPr>
            </w:pP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Total Other Financing Uses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1,252,034.22 </w:t>
            </w:r>
          </w:p>
        </w:tc>
      </w:tr>
      <w:tr w:rsidR="00960936" w:rsidRPr="00960936" w:rsidTr="00E67931">
        <w:trPr>
          <w:trHeight w:val="7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15"/>
        </w:trPr>
        <w:tc>
          <w:tcPr>
            <w:tcW w:w="5198" w:type="dxa"/>
            <w:gridSpan w:val="2"/>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TOTAL GENERAL FUND - 1000</w:t>
            </w:r>
          </w:p>
        </w:tc>
        <w:tc>
          <w:tcPr>
            <w:tcW w:w="264"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w:t>
            </w:r>
          </w:p>
        </w:tc>
        <w:tc>
          <w:tcPr>
            <w:tcW w:w="1902"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w:t>
            </w:r>
          </w:p>
        </w:tc>
        <w:tc>
          <w:tcPr>
            <w:tcW w:w="1996" w:type="dxa"/>
            <w:tcBorders>
              <w:top w:val="nil"/>
              <w:left w:val="nil"/>
              <w:bottom w:val="double" w:sz="6"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 xml:space="preserve"> $      7,135,379.22 </w:t>
            </w:r>
          </w:p>
        </w:tc>
      </w:tr>
      <w:tr w:rsidR="00960936" w:rsidRPr="00960936" w:rsidTr="00E67931">
        <w:trPr>
          <w:trHeight w:val="35"/>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E67931">
        <w:trPr>
          <w:trHeight w:val="8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E67931">
        <w:trPr>
          <w:trHeight w:val="117"/>
        </w:trPr>
        <w:tc>
          <w:tcPr>
            <w:tcW w:w="9360" w:type="dxa"/>
            <w:gridSpan w:val="5"/>
            <w:tcBorders>
              <w:top w:val="nil"/>
              <w:left w:val="nil"/>
              <w:bottom w:val="nil"/>
              <w:right w:val="nil"/>
            </w:tcBorders>
            <w:shd w:val="clear" w:color="auto" w:fill="auto"/>
            <w:noWrap/>
            <w:vAlign w:val="bottom"/>
            <w:hideMark/>
          </w:tcPr>
          <w:p w:rsidR="00960936" w:rsidRPr="00960936" w:rsidRDefault="00960936" w:rsidP="00960936">
            <w:pPr>
              <w:jc w:val="center"/>
              <w:rPr>
                <w:rFonts w:ascii="Calibri" w:hAnsi="Calibri" w:cs="Calibri"/>
                <w:b/>
                <w:bCs/>
                <w:color w:val="000000"/>
                <w:sz w:val="22"/>
                <w:szCs w:val="22"/>
                <w:u w:val="single"/>
              </w:rPr>
            </w:pPr>
            <w:r w:rsidRPr="00960936">
              <w:rPr>
                <w:rFonts w:ascii="Calibri" w:hAnsi="Calibri" w:cs="Calibri"/>
                <w:b/>
                <w:bCs/>
                <w:color w:val="000000"/>
                <w:sz w:val="22"/>
                <w:szCs w:val="22"/>
                <w:u w:val="single"/>
              </w:rPr>
              <w:t>BUILDING FUND - 4001</w:t>
            </w: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Building Fund</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300 - Purchased &amp; Contracted Services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1777F4" w:rsidP="00960936">
            <w:pPr>
              <w:rPr>
                <w:rFonts w:ascii="Calibri" w:hAnsi="Calibri" w:cs="Calibri"/>
                <w:color w:val="000000"/>
                <w:sz w:val="22"/>
                <w:szCs w:val="22"/>
              </w:rPr>
            </w:pPr>
            <w:r>
              <w:rPr>
                <w:rFonts w:ascii="Calibri" w:hAnsi="Calibri" w:cs="Calibri"/>
                <w:color w:val="000000"/>
                <w:sz w:val="22"/>
                <w:szCs w:val="22"/>
              </w:rPr>
              <w:t xml:space="preserve"> $         </w:t>
            </w:r>
            <w:r w:rsidR="00960936" w:rsidRPr="00960936">
              <w:rPr>
                <w:rFonts w:ascii="Calibri" w:hAnsi="Calibri" w:cs="Calibri"/>
                <w:color w:val="000000"/>
                <w:sz w:val="22"/>
                <w:szCs w:val="22"/>
              </w:rPr>
              <w:t xml:space="preserve"> 38,634</w:t>
            </w:r>
            <w:r>
              <w:rPr>
                <w:rFonts w:ascii="Calibri" w:hAnsi="Calibri" w:cs="Calibri"/>
                <w:color w:val="000000"/>
                <w:sz w:val="22"/>
                <w:szCs w:val="22"/>
              </w:rPr>
              <w:t>.00</w:t>
            </w:r>
            <w:r w:rsidR="00960936" w:rsidRPr="00960936">
              <w:rPr>
                <w:rFonts w:ascii="Calibri" w:hAnsi="Calibri" w:cs="Calibri"/>
                <w:color w:val="000000"/>
                <w:sz w:val="22"/>
                <w:szCs w:val="22"/>
              </w:rPr>
              <w:t xml:space="preserve"> </w:t>
            </w: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700 - Capital Outlay</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3,641,891.70 </w:t>
            </w: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826A8A">
        <w:trPr>
          <w:trHeight w:val="135"/>
        </w:trPr>
        <w:tc>
          <w:tcPr>
            <w:tcW w:w="5198" w:type="dxa"/>
            <w:gridSpan w:val="2"/>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TOTAL BUILDING FUND - 4001</w:t>
            </w:r>
          </w:p>
        </w:tc>
        <w:tc>
          <w:tcPr>
            <w:tcW w:w="264"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w:t>
            </w:r>
          </w:p>
        </w:tc>
        <w:tc>
          <w:tcPr>
            <w:tcW w:w="1902"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w:t>
            </w:r>
          </w:p>
        </w:tc>
        <w:tc>
          <w:tcPr>
            <w:tcW w:w="1996" w:type="dxa"/>
            <w:tcBorders>
              <w:top w:val="nil"/>
              <w:left w:val="nil"/>
              <w:bottom w:val="double" w:sz="6"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 xml:space="preserve"> $      3,680,525.67 </w:t>
            </w:r>
          </w:p>
        </w:tc>
      </w:tr>
      <w:tr w:rsidR="00960936" w:rsidRPr="00960936" w:rsidTr="00E67931">
        <w:trPr>
          <w:trHeight w:val="35"/>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826A8A">
        <w:trPr>
          <w:trHeight w:val="8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960936">
        <w:trPr>
          <w:trHeight w:val="300"/>
        </w:trPr>
        <w:tc>
          <w:tcPr>
            <w:tcW w:w="9360" w:type="dxa"/>
            <w:gridSpan w:val="5"/>
            <w:tcBorders>
              <w:top w:val="nil"/>
              <w:left w:val="nil"/>
              <w:bottom w:val="nil"/>
              <w:right w:val="nil"/>
            </w:tcBorders>
            <w:shd w:val="clear" w:color="auto" w:fill="auto"/>
            <w:noWrap/>
            <w:vAlign w:val="bottom"/>
            <w:hideMark/>
          </w:tcPr>
          <w:p w:rsidR="00960936" w:rsidRPr="00960936" w:rsidRDefault="00960936" w:rsidP="00960936">
            <w:pPr>
              <w:jc w:val="center"/>
              <w:rPr>
                <w:rFonts w:ascii="Calibri" w:hAnsi="Calibri" w:cs="Calibri"/>
                <w:b/>
                <w:bCs/>
                <w:color w:val="000000"/>
                <w:sz w:val="22"/>
                <w:szCs w:val="22"/>
                <w:u w:val="single"/>
              </w:rPr>
            </w:pPr>
            <w:r w:rsidRPr="00960936">
              <w:rPr>
                <w:rFonts w:ascii="Calibri" w:hAnsi="Calibri" w:cs="Calibri"/>
                <w:b/>
                <w:bCs/>
                <w:color w:val="000000"/>
                <w:sz w:val="22"/>
                <w:szCs w:val="22"/>
                <w:u w:val="single"/>
              </w:rPr>
              <w:t>DORIS T. CULP MEMORIAL FUND - 4501</w:t>
            </w: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Library Materials &amp; Information</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411 - Books &amp; Pamphlets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4,874.40 </w:t>
            </w:r>
          </w:p>
        </w:tc>
      </w:tr>
      <w:tr w:rsidR="00960936" w:rsidRPr="00960936" w:rsidTr="00E67931">
        <w:trPr>
          <w:trHeight w:val="7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15"/>
        </w:trPr>
        <w:tc>
          <w:tcPr>
            <w:tcW w:w="5198" w:type="dxa"/>
            <w:gridSpan w:val="2"/>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TOTAL DORIS T. CULP MEMORIAL FUND - 4501</w:t>
            </w:r>
          </w:p>
        </w:tc>
        <w:tc>
          <w:tcPr>
            <w:tcW w:w="264"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w:t>
            </w:r>
          </w:p>
        </w:tc>
        <w:tc>
          <w:tcPr>
            <w:tcW w:w="1902"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w:t>
            </w:r>
          </w:p>
        </w:tc>
        <w:tc>
          <w:tcPr>
            <w:tcW w:w="1996" w:type="dxa"/>
            <w:tcBorders>
              <w:top w:val="nil"/>
              <w:left w:val="nil"/>
              <w:bottom w:val="double" w:sz="6"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 xml:space="preserve"> $              4,874.40 </w:t>
            </w:r>
          </w:p>
        </w:tc>
      </w:tr>
      <w:tr w:rsidR="00960936" w:rsidRPr="00960936" w:rsidTr="00E67931">
        <w:trPr>
          <w:trHeight w:val="135"/>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DD0794">
        <w:trPr>
          <w:trHeight w:val="8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960936">
        <w:trPr>
          <w:trHeight w:val="300"/>
        </w:trPr>
        <w:tc>
          <w:tcPr>
            <w:tcW w:w="9360" w:type="dxa"/>
            <w:gridSpan w:val="5"/>
            <w:tcBorders>
              <w:top w:val="nil"/>
              <w:left w:val="nil"/>
              <w:bottom w:val="nil"/>
              <w:right w:val="nil"/>
            </w:tcBorders>
            <w:shd w:val="clear" w:color="auto" w:fill="auto"/>
            <w:noWrap/>
            <w:vAlign w:val="bottom"/>
            <w:hideMark/>
          </w:tcPr>
          <w:p w:rsidR="00960936" w:rsidRPr="00960936" w:rsidRDefault="00960936" w:rsidP="00960936">
            <w:pPr>
              <w:jc w:val="center"/>
              <w:rPr>
                <w:rFonts w:ascii="Calibri" w:hAnsi="Calibri" w:cs="Calibri"/>
                <w:b/>
                <w:bCs/>
                <w:color w:val="000000"/>
                <w:sz w:val="22"/>
                <w:szCs w:val="22"/>
                <w:u w:val="single"/>
              </w:rPr>
            </w:pPr>
            <w:r w:rsidRPr="00960936">
              <w:rPr>
                <w:rFonts w:ascii="Calibri" w:hAnsi="Calibri" w:cs="Calibri"/>
                <w:b/>
                <w:bCs/>
                <w:color w:val="000000"/>
                <w:sz w:val="22"/>
                <w:szCs w:val="22"/>
                <w:u w:val="single"/>
              </w:rPr>
              <w:t>ANNE R. SCHLEGEL MEMORIAL FUND - 4502</w:t>
            </w:r>
          </w:p>
        </w:tc>
      </w:tr>
      <w:tr w:rsidR="00960936" w:rsidRPr="00960936" w:rsidTr="00224141">
        <w:trPr>
          <w:trHeight w:val="300"/>
        </w:trPr>
        <w:tc>
          <w:tcPr>
            <w:tcW w:w="5198" w:type="dxa"/>
            <w:gridSpan w:val="2"/>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Library Materials &amp; Information</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0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411 - Books &amp; Pamphlets</w:t>
            </w: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xml:space="preserve"> $              1,252.24 </w:t>
            </w:r>
          </w:p>
        </w:tc>
      </w:tr>
      <w:tr w:rsidR="00960936" w:rsidRPr="00960936" w:rsidTr="00E67931">
        <w:trPr>
          <w:trHeight w:val="7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15"/>
        </w:trPr>
        <w:tc>
          <w:tcPr>
            <w:tcW w:w="5198" w:type="dxa"/>
            <w:gridSpan w:val="2"/>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TOTAL ANNE R. SCHLEGEL MEMORIAL FUND - 4502</w:t>
            </w:r>
          </w:p>
        </w:tc>
        <w:tc>
          <w:tcPr>
            <w:tcW w:w="264"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w:t>
            </w:r>
          </w:p>
        </w:tc>
        <w:tc>
          <w:tcPr>
            <w:tcW w:w="1902" w:type="dxa"/>
            <w:tcBorders>
              <w:top w:val="nil"/>
              <w:left w:val="nil"/>
              <w:bottom w:val="single" w:sz="4" w:space="0" w:color="auto"/>
              <w:right w:val="nil"/>
            </w:tcBorders>
            <w:shd w:val="clear" w:color="auto" w:fill="auto"/>
            <w:noWrap/>
            <w:vAlign w:val="bottom"/>
            <w:hideMark/>
          </w:tcPr>
          <w:p w:rsidR="00960936" w:rsidRPr="00960936" w:rsidRDefault="00960936" w:rsidP="00960936">
            <w:pPr>
              <w:rPr>
                <w:rFonts w:ascii="Calibri" w:hAnsi="Calibri" w:cs="Calibri"/>
                <w:color w:val="000000"/>
                <w:sz w:val="22"/>
                <w:szCs w:val="22"/>
              </w:rPr>
            </w:pPr>
            <w:r w:rsidRPr="00960936">
              <w:rPr>
                <w:rFonts w:ascii="Calibri" w:hAnsi="Calibri" w:cs="Calibri"/>
                <w:color w:val="000000"/>
                <w:sz w:val="22"/>
                <w:szCs w:val="22"/>
              </w:rPr>
              <w:t> </w:t>
            </w:r>
          </w:p>
        </w:tc>
        <w:tc>
          <w:tcPr>
            <w:tcW w:w="1996" w:type="dxa"/>
            <w:tcBorders>
              <w:top w:val="nil"/>
              <w:left w:val="nil"/>
              <w:bottom w:val="double" w:sz="6"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 xml:space="preserve"> $              1,252.24 </w:t>
            </w:r>
          </w:p>
        </w:tc>
      </w:tr>
      <w:tr w:rsidR="00960936" w:rsidRPr="00960936" w:rsidTr="009B76CB">
        <w:trPr>
          <w:trHeight w:val="162"/>
        </w:trPr>
        <w:tc>
          <w:tcPr>
            <w:tcW w:w="221" w:type="dxa"/>
            <w:tcBorders>
              <w:top w:val="nil"/>
              <w:left w:val="nil"/>
              <w:bottom w:val="nil"/>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9B76CB">
        <w:trPr>
          <w:trHeight w:val="8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9B76CB">
        <w:trPr>
          <w:trHeight w:val="80"/>
        </w:trPr>
        <w:tc>
          <w:tcPr>
            <w:tcW w:w="221"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4977"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264"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02"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c>
          <w:tcPr>
            <w:tcW w:w="1996" w:type="dxa"/>
            <w:tcBorders>
              <w:top w:val="nil"/>
              <w:left w:val="nil"/>
              <w:bottom w:val="nil"/>
              <w:right w:val="nil"/>
            </w:tcBorders>
            <w:shd w:val="clear" w:color="auto" w:fill="auto"/>
            <w:noWrap/>
            <w:vAlign w:val="bottom"/>
            <w:hideMark/>
          </w:tcPr>
          <w:p w:rsidR="00960936" w:rsidRPr="00960936" w:rsidRDefault="00960936" w:rsidP="00960936">
            <w:pPr>
              <w:rPr>
                <w:sz w:val="20"/>
              </w:rPr>
            </w:pPr>
          </w:p>
        </w:tc>
      </w:tr>
      <w:tr w:rsidR="00960936" w:rsidRPr="00960936" w:rsidTr="00224141">
        <w:trPr>
          <w:trHeight w:val="315"/>
        </w:trPr>
        <w:tc>
          <w:tcPr>
            <w:tcW w:w="7364" w:type="dxa"/>
            <w:gridSpan w:val="4"/>
            <w:tcBorders>
              <w:top w:val="nil"/>
              <w:left w:val="nil"/>
              <w:bottom w:val="nil"/>
              <w:right w:val="nil"/>
            </w:tcBorders>
            <w:shd w:val="clear" w:color="auto" w:fill="auto"/>
            <w:noWrap/>
            <w:vAlign w:val="bottom"/>
            <w:hideMark/>
          </w:tcPr>
          <w:p w:rsidR="00960936" w:rsidRPr="00960936" w:rsidRDefault="00960936" w:rsidP="00960936">
            <w:pPr>
              <w:jc w:val="right"/>
              <w:rPr>
                <w:rFonts w:ascii="Calibri" w:hAnsi="Calibri" w:cs="Calibri"/>
                <w:b/>
                <w:bCs/>
                <w:color w:val="000000"/>
                <w:sz w:val="22"/>
                <w:szCs w:val="22"/>
                <w:u w:val="single"/>
              </w:rPr>
            </w:pPr>
            <w:r w:rsidRPr="00960936">
              <w:rPr>
                <w:rFonts w:ascii="Calibri" w:hAnsi="Calibri" w:cs="Calibri"/>
                <w:b/>
                <w:bCs/>
                <w:color w:val="000000"/>
                <w:sz w:val="22"/>
                <w:szCs w:val="22"/>
                <w:u w:val="single"/>
              </w:rPr>
              <w:t xml:space="preserve">GRAND TOTAL ALL FUNDS   </w:t>
            </w:r>
          </w:p>
        </w:tc>
        <w:tc>
          <w:tcPr>
            <w:tcW w:w="1996" w:type="dxa"/>
            <w:tcBorders>
              <w:top w:val="single" w:sz="4" w:space="0" w:color="auto"/>
              <w:left w:val="nil"/>
              <w:bottom w:val="double" w:sz="6" w:space="0" w:color="auto"/>
              <w:right w:val="nil"/>
            </w:tcBorders>
            <w:shd w:val="clear" w:color="auto" w:fill="auto"/>
            <w:noWrap/>
            <w:vAlign w:val="bottom"/>
            <w:hideMark/>
          </w:tcPr>
          <w:p w:rsidR="00960936" w:rsidRPr="00960936" w:rsidRDefault="00960936" w:rsidP="00960936">
            <w:pPr>
              <w:rPr>
                <w:rFonts w:ascii="Calibri" w:hAnsi="Calibri" w:cs="Calibri"/>
                <w:b/>
                <w:bCs/>
                <w:color w:val="000000"/>
                <w:sz w:val="22"/>
                <w:szCs w:val="22"/>
              </w:rPr>
            </w:pPr>
            <w:r w:rsidRPr="00960936">
              <w:rPr>
                <w:rFonts w:ascii="Calibri" w:hAnsi="Calibri" w:cs="Calibri"/>
                <w:b/>
                <w:bCs/>
                <w:color w:val="000000"/>
                <w:sz w:val="22"/>
                <w:szCs w:val="22"/>
              </w:rPr>
              <w:t xml:space="preserve"> $   10,822,031.53 </w:t>
            </w:r>
          </w:p>
        </w:tc>
      </w:tr>
    </w:tbl>
    <w:p w:rsidR="00D80A70" w:rsidRDefault="00D80A70" w:rsidP="0033284C">
      <w:pPr>
        <w:tabs>
          <w:tab w:val="left" w:pos="2160"/>
          <w:tab w:val="left" w:pos="7200"/>
          <w:tab w:val="left" w:pos="8640"/>
        </w:tabs>
        <w:rPr>
          <w:rFonts w:ascii="Rockwell" w:hAnsi="Rockwell" w:cs="Cambria"/>
        </w:rPr>
      </w:pPr>
    </w:p>
    <w:p w:rsidR="00D80A70" w:rsidRPr="00E67931" w:rsidRDefault="00D80A70" w:rsidP="0033284C">
      <w:pPr>
        <w:tabs>
          <w:tab w:val="left" w:pos="2160"/>
          <w:tab w:val="left" w:pos="7200"/>
          <w:tab w:val="left" w:pos="8640"/>
        </w:tabs>
        <w:rPr>
          <w:rFonts w:ascii="Rockwell" w:hAnsi="Rockwell" w:cs="Cambria"/>
          <w:b/>
          <w:u w:val="single"/>
        </w:rPr>
      </w:pPr>
      <w:r w:rsidRPr="00E67931">
        <w:rPr>
          <w:rFonts w:ascii="Rockwell" w:hAnsi="Rockwell" w:cs="Cambria"/>
          <w:b/>
          <w:u w:val="single"/>
        </w:rPr>
        <w:t xml:space="preserve">Staffing </w:t>
      </w:r>
    </w:p>
    <w:p w:rsidR="00D80A70" w:rsidRDefault="00D80A70" w:rsidP="0033284C">
      <w:pPr>
        <w:tabs>
          <w:tab w:val="left" w:pos="2160"/>
          <w:tab w:val="left" w:pos="7200"/>
          <w:tab w:val="left" w:pos="8640"/>
        </w:tabs>
        <w:rPr>
          <w:rFonts w:ascii="Rockwell" w:hAnsi="Rockwell" w:cs="Cambria"/>
        </w:rPr>
      </w:pPr>
      <w:r w:rsidRPr="00B6087F">
        <w:rPr>
          <w:rFonts w:ascii="Rockwell" w:hAnsi="Rockwell" w:cs="Cambria"/>
          <w:b/>
        </w:rPr>
        <w:t>Interview updates</w:t>
      </w:r>
      <w:r>
        <w:rPr>
          <w:rFonts w:ascii="Rockwell" w:hAnsi="Rockwell" w:cs="Cambria"/>
        </w:rPr>
        <w:t>: W</w:t>
      </w:r>
      <w:r w:rsidRPr="00D80A70">
        <w:rPr>
          <w:rFonts w:ascii="Rockwell" w:hAnsi="Rockwell" w:cs="Cambria"/>
        </w:rPr>
        <w:t>e currently have three job postings up (custodian/deliveries, Youth Services Assistant, and Outreach Manager). We have gotten a handful of resumes for each position a</w:t>
      </w:r>
      <w:r w:rsidR="00960936">
        <w:rPr>
          <w:rFonts w:ascii="Rockwell" w:hAnsi="Rockwell" w:cs="Cambria"/>
        </w:rPr>
        <w:t xml:space="preserve">nd hope to get more. Interviews are being scheduled. </w:t>
      </w:r>
    </w:p>
    <w:p w:rsidR="00D80A70" w:rsidRDefault="00D80A70" w:rsidP="0033284C">
      <w:pPr>
        <w:tabs>
          <w:tab w:val="left" w:pos="2160"/>
          <w:tab w:val="left" w:pos="7200"/>
          <w:tab w:val="left" w:pos="8640"/>
        </w:tabs>
        <w:rPr>
          <w:rFonts w:ascii="Rockwell" w:hAnsi="Rockwell" w:cs="Cambria"/>
        </w:rPr>
      </w:pPr>
      <w:r>
        <w:rPr>
          <w:rFonts w:ascii="Rockwell" w:hAnsi="Rockwell" w:cs="Cambria"/>
        </w:rPr>
        <w:t xml:space="preserve">We have another </w:t>
      </w:r>
      <w:r w:rsidRPr="00E67931">
        <w:rPr>
          <w:rFonts w:ascii="Rockwell" w:hAnsi="Rockwell" w:cs="Cambria"/>
          <w:b/>
        </w:rPr>
        <w:t>upcoming r</w:t>
      </w:r>
      <w:r w:rsidRPr="00B6087F">
        <w:rPr>
          <w:rFonts w:ascii="Rockwell" w:hAnsi="Rockwell" w:cs="Cambria"/>
          <w:b/>
        </w:rPr>
        <w:t>etirement and a promotion</w:t>
      </w:r>
      <w:r>
        <w:rPr>
          <w:rFonts w:ascii="Rockwell" w:hAnsi="Rockwell" w:cs="Cambria"/>
        </w:rPr>
        <w:t xml:space="preserve"> to the new position that was approved last month. </w:t>
      </w:r>
    </w:p>
    <w:p w:rsidR="00B6087F" w:rsidRDefault="00D80A70" w:rsidP="00B6087F">
      <w:pPr>
        <w:tabs>
          <w:tab w:val="left" w:pos="2160"/>
          <w:tab w:val="left" w:pos="7200"/>
          <w:tab w:val="left" w:pos="8640"/>
        </w:tabs>
        <w:rPr>
          <w:rFonts w:ascii="Rockwell" w:hAnsi="Rockwell" w:cs="Cambria"/>
        </w:rPr>
      </w:pPr>
      <w:r w:rsidRPr="00B6087F">
        <w:rPr>
          <w:rFonts w:ascii="Rockwell" w:hAnsi="Rockwell" w:cs="Cambria"/>
          <w:b/>
        </w:rPr>
        <w:t>Update Sick Leave Borrowing Policy</w:t>
      </w:r>
      <w:r>
        <w:rPr>
          <w:rFonts w:ascii="Rockwell" w:hAnsi="Rockwell" w:cs="Cambria"/>
        </w:rPr>
        <w:t xml:space="preserve">: </w:t>
      </w:r>
      <w:r w:rsidRPr="00D80A70">
        <w:rPr>
          <w:rFonts w:ascii="Rockwell" w:hAnsi="Rockwell" w:cs="Cambria"/>
        </w:rPr>
        <w:t>Last month, based on recommendations from the Personnel Committee, changes were made to sick leave accrual balances and buy out at retirement. Also at the last Personnel Committee meeting, we discussed ideas around how to help new employees who may not yet have a bank of sick leave hours or even longer-term employees who suddenly find themselves faced with cascading medical issues. After debating the pros and cons of various sick leave donation programs, we ultimately landed on simply allowing employees to borrow sick leave from themselves. We already have this policy in place for vacation hours. In this proposed update, we would allow staff to borrow up to two weeks of their regular schedule once every twelve months. With those guardrails in place, it means staff will not be able to continuously borrow, but can have some guarantees o</w:t>
      </w:r>
      <w:r w:rsidR="00C2580D">
        <w:rPr>
          <w:rFonts w:ascii="Rockwell" w:hAnsi="Rockwell" w:cs="Cambria"/>
        </w:rPr>
        <w:t>f payroll protection if needed.</w:t>
      </w:r>
    </w:p>
    <w:p w:rsidR="00B6087F" w:rsidRDefault="00B6087F" w:rsidP="00B6087F">
      <w:pPr>
        <w:tabs>
          <w:tab w:val="left" w:pos="7110"/>
          <w:tab w:val="left" w:pos="8640"/>
        </w:tabs>
        <w:rPr>
          <w:rFonts w:ascii="Rockwell" w:hAnsi="Rockwell" w:cs="Arial"/>
          <w:szCs w:val="24"/>
        </w:rPr>
      </w:pPr>
      <w:r>
        <w:rPr>
          <w:rFonts w:ascii="Rockwell" w:hAnsi="Rockwell" w:cs="Arial"/>
          <w:szCs w:val="24"/>
        </w:rPr>
        <w:tab/>
        <w:t xml:space="preserve"> Pers. “A”</w:t>
      </w:r>
    </w:p>
    <w:p w:rsidR="00B6087F" w:rsidRDefault="00B6087F" w:rsidP="00B6087F">
      <w:pPr>
        <w:tabs>
          <w:tab w:val="left" w:pos="2160"/>
          <w:tab w:val="left" w:pos="7200"/>
          <w:tab w:val="left" w:pos="8640"/>
        </w:tabs>
        <w:rPr>
          <w:rFonts w:ascii="Rockwell" w:hAnsi="Rockwell" w:cs="Cambria"/>
        </w:rPr>
      </w:pPr>
      <w:r>
        <w:rPr>
          <w:rFonts w:ascii="Rockwell" w:hAnsi="Rockwell" w:cs="Arial"/>
          <w:szCs w:val="24"/>
        </w:rPr>
        <w:tab/>
      </w:r>
      <w:r>
        <w:rPr>
          <w:rFonts w:ascii="Rockwell" w:hAnsi="Rockwell" w:cs="Arial"/>
          <w:szCs w:val="24"/>
        </w:rPr>
        <w:tab/>
        <w:t xml:space="preserve">Resolution </w:t>
      </w:r>
      <w:r w:rsidR="002F22B4">
        <w:rPr>
          <w:rFonts w:ascii="Rockwell" w:hAnsi="Rockwell" w:cs="Arial"/>
          <w:szCs w:val="24"/>
        </w:rPr>
        <w:t>17</w:t>
      </w:r>
      <w:r>
        <w:rPr>
          <w:rFonts w:ascii="Rockwell" w:hAnsi="Rockwell" w:cs="Arial"/>
          <w:szCs w:val="24"/>
        </w:rPr>
        <w:t>-24</w:t>
      </w:r>
    </w:p>
    <w:p w:rsidR="00D80A70" w:rsidRDefault="00D80A70" w:rsidP="0033284C">
      <w:pPr>
        <w:tabs>
          <w:tab w:val="left" w:pos="2160"/>
          <w:tab w:val="left" w:pos="7200"/>
          <w:tab w:val="left" w:pos="8640"/>
        </w:tabs>
        <w:rPr>
          <w:rFonts w:ascii="Rockwell" w:hAnsi="Rockwell" w:cs="Arial"/>
          <w:b/>
          <w:bCs/>
          <w:szCs w:val="24"/>
          <w:u w:val="single"/>
        </w:rPr>
      </w:pPr>
      <w:r>
        <w:rPr>
          <w:rFonts w:ascii="Rockwell" w:hAnsi="Rockwell" w:cs="Arial"/>
          <w:b/>
          <w:bCs/>
          <w:szCs w:val="24"/>
          <w:u w:val="single"/>
        </w:rPr>
        <w:t>Accept Retirement and Approve Promotion</w:t>
      </w:r>
    </w:p>
    <w:p w:rsidR="0033284C" w:rsidRPr="007B626C" w:rsidRDefault="00C30D78" w:rsidP="0033284C">
      <w:pPr>
        <w:tabs>
          <w:tab w:val="left" w:pos="2160"/>
          <w:tab w:val="left" w:pos="7200"/>
          <w:tab w:val="left" w:pos="8640"/>
        </w:tabs>
        <w:rPr>
          <w:rFonts w:ascii="Rockwell" w:hAnsi="Rockwell" w:cs="Arial"/>
          <w:b/>
          <w:bCs/>
          <w:szCs w:val="24"/>
          <w:u w:val="single"/>
        </w:rPr>
      </w:pPr>
      <w:r>
        <w:rPr>
          <w:rFonts w:ascii="Rockwell" w:hAnsi="Rockwell" w:cs="Arial"/>
          <w:bCs/>
          <w:szCs w:val="24"/>
        </w:rPr>
        <w:softHyphen/>
        <w:t>A.Oyer</w:t>
      </w:r>
      <w:r w:rsidR="0033284C">
        <w:rPr>
          <w:rFonts w:ascii="Rockwell" w:hAnsi="Rockwell" w:cs="Arial"/>
          <w:bCs/>
          <w:szCs w:val="24"/>
        </w:rPr>
        <w:t xml:space="preserve"> </w:t>
      </w:r>
      <w:r w:rsidR="0033284C" w:rsidRPr="008C50DA">
        <w:rPr>
          <w:rFonts w:ascii="Rockwell" w:hAnsi="Rockwell" w:cs="Arial"/>
          <w:szCs w:val="24"/>
        </w:rPr>
        <w:t>m</w:t>
      </w:r>
      <w:r w:rsidR="0033284C">
        <w:rPr>
          <w:rFonts w:ascii="Rockwell" w:hAnsi="Rockwell" w:cs="Arial"/>
          <w:szCs w:val="24"/>
        </w:rPr>
        <w:t xml:space="preserve">oved and </w:t>
      </w:r>
      <w:r>
        <w:rPr>
          <w:rFonts w:ascii="Rockwell" w:hAnsi="Rockwell" w:cs="Arial"/>
          <w:sz w:val="22"/>
          <w:szCs w:val="22"/>
        </w:rPr>
        <w:t>L. Graves</w:t>
      </w:r>
      <w:r w:rsidR="0033284C">
        <w:rPr>
          <w:rFonts w:ascii="Rockwell" w:hAnsi="Rockwell" w:cs="Arial"/>
          <w:szCs w:val="24"/>
        </w:rPr>
        <w:t xml:space="preserve"> </w:t>
      </w:r>
      <w:r w:rsidR="0033284C" w:rsidRPr="008C50DA">
        <w:rPr>
          <w:rFonts w:ascii="Rockwell" w:hAnsi="Rockwell" w:cs="Arial"/>
          <w:szCs w:val="24"/>
        </w:rPr>
        <w:t>seconded the adopt</w:t>
      </w:r>
      <w:r w:rsidR="00E543D5">
        <w:rPr>
          <w:rFonts w:ascii="Rockwell" w:hAnsi="Rockwell" w:cs="Arial"/>
          <w:szCs w:val="24"/>
        </w:rPr>
        <w:t>ion of the following resolution:</w:t>
      </w:r>
    </w:p>
    <w:p w:rsidR="0033284C" w:rsidRDefault="0033284C" w:rsidP="0033284C">
      <w:pPr>
        <w:tabs>
          <w:tab w:val="left" w:pos="7110"/>
          <w:tab w:val="left" w:pos="8640"/>
        </w:tabs>
        <w:rPr>
          <w:rFonts w:ascii="Rockwell" w:hAnsi="Rockwell"/>
          <w:szCs w:val="24"/>
        </w:rPr>
      </w:pPr>
      <w:r w:rsidRPr="008C50DA">
        <w:rPr>
          <w:rFonts w:ascii="Rockwell" w:hAnsi="Rockwell" w:cs="Arial"/>
          <w:szCs w:val="24"/>
          <w:u w:val="single"/>
          <w:lang w:eastAsia="x-none"/>
        </w:rPr>
        <w:t>That</w:t>
      </w:r>
      <w:r w:rsidR="00D80A70">
        <w:rPr>
          <w:rFonts w:ascii="Rockwell" w:hAnsi="Rockwell" w:cs="Arial"/>
          <w:szCs w:val="24"/>
          <w:lang w:eastAsia="x-none"/>
        </w:rPr>
        <w:t xml:space="preserve"> Dustin Stanforth be promoted to Custodial Assistant, effective February 11</w:t>
      </w:r>
      <w:r>
        <w:rPr>
          <w:rFonts w:ascii="Rockwell" w:hAnsi="Rockwell"/>
          <w:szCs w:val="24"/>
        </w:rPr>
        <w:t>, 2024 and</w:t>
      </w:r>
    </w:p>
    <w:p w:rsidR="00D80A70" w:rsidRDefault="0033284C" w:rsidP="0033284C">
      <w:pPr>
        <w:tabs>
          <w:tab w:val="left" w:pos="7110"/>
          <w:tab w:val="left" w:pos="8640"/>
        </w:tabs>
        <w:rPr>
          <w:rFonts w:ascii="Rockwell" w:hAnsi="Rockwell"/>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Pr>
          <w:rFonts w:ascii="Rockwell" w:hAnsi="Rockwell" w:cs="Arial"/>
          <w:szCs w:val="24"/>
          <w:lang w:eastAsia="x-none"/>
        </w:rPr>
        <w:t xml:space="preserve">the </w:t>
      </w:r>
      <w:r>
        <w:rPr>
          <w:rFonts w:ascii="Rockwell" w:hAnsi="Rockwell"/>
          <w:szCs w:val="24"/>
        </w:rPr>
        <w:t xml:space="preserve">retirement of </w:t>
      </w:r>
      <w:r w:rsidR="00D80A70">
        <w:rPr>
          <w:rFonts w:ascii="Rockwell" w:hAnsi="Rockwell"/>
          <w:szCs w:val="24"/>
        </w:rPr>
        <w:t>Adrienne D’Souza</w:t>
      </w:r>
      <w:r>
        <w:rPr>
          <w:rFonts w:ascii="Rockwell" w:hAnsi="Rockwell"/>
          <w:szCs w:val="24"/>
        </w:rPr>
        <w:t xml:space="preserve">, </w:t>
      </w:r>
      <w:r w:rsidR="00D80A70">
        <w:rPr>
          <w:rFonts w:ascii="Rockwell" w:hAnsi="Rockwell"/>
          <w:szCs w:val="24"/>
        </w:rPr>
        <w:t>Enrichment Assistant</w:t>
      </w:r>
      <w:r>
        <w:rPr>
          <w:rFonts w:ascii="Rockwell" w:hAnsi="Rockwell"/>
          <w:szCs w:val="24"/>
        </w:rPr>
        <w:t xml:space="preserve">, be accepted </w:t>
      </w:r>
    </w:p>
    <w:p w:rsidR="0033284C" w:rsidRDefault="0033284C" w:rsidP="0033284C">
      <w:pPr>
        <w:tabs>
          <w:tab w:val="left" w:pos="7110"/>
          <w:tab w:val="left" w:pos="8640"/>
        </w:tabs>
        <w:rPr>
          <w:rFonts w:ascii="Rockwell" w:hAnsi="Rockwell"/>
          <w:szCs w:val="24"/>
        </w:rPr>
      </w:pPr>
      <w:r>
        <w:rPr>
          <w:rFonts w:ascii="Rockwell" w:hAnsi="Rockwell"/>
          <w:szCs w:val="24"/>
        </w:rPr>
        <w:t xml:space="preserve">effective </w:t>
      </w:r>
      <w:r w:rsidR="00D80A70">
        <w:rPr>
          <w:rFonts w:ascii="Rockwell" w:hAnsi="Rockwell"/>
          <w:szCs w:val="24"/>
        </w:rPr>
        <w:t>April</w:t>
      </w:r>
      <w:r>
        <w:rPr>
          <w:rFonts w:ascii="Rockwell" w:hAnsi="Rockwell"/>
          <w:szCs w:val="24"/>
        </w:rPr>
        <w:t xml:space="preserve"> 30, 2024.</w:t>
      </w:r>
    </w:p>
    <w:p w:rsidR="002F22B4" w:rsidRDefault="002F22B4" w:rsidP="0033284C">
      <w:pPr>
        <w:tabs>
          <w:tab w:val="left" w:pos="7110"/>
          <w:tab w:val="left" w:pos="8640"/>
        </w:tabs>
        <w:rPr>
          <w:rFonts w:ascii="Rockwell" w:hAnsi="Rockwell"/>
          <w:szCs w:val="24"/>
        </w:rPr>
      </w:pPr>
    </w:p>
    <w:p w:rsidR="0033284C" w:rsidRPr="008C50DA" w:rsidRDefault="00D80A70" w:rsidP="0033284C">
      <w:pPr>
        <w:tabs>
          <w:tab w:val="left" w:pos="2160"/>
          <w:tab w:val="left" w:pos="7200"/>
          <w:tab w:val="left" w:pos="8640"/>
        </w:tabs>
        <w:rPr>
          <w:rFonts w:ascii="Rockwell" w:hAnsi="Rockwell" w:cs="Arial"/>
          <w:bCs/>
          <w:szCs w:val="24"/>
        </w:rPr>
      </w:pPr>
      <w:r w:rsidRPr="00D80A70">
        <w:rPr>
          <w:rFonts w:ascii="Rockwell" w:hAnsi="Rockwell" w:cs="Arial"/>
          <w:bCs/>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B71AA1" w:rsidRDefault="0033284C" w:rsidP="0033284C">
      <w:pPr>
        <w:tabs>
          <w:tab w:val="left" w:pos="7110"/>
          <w:tab w:val="left" w:pos="8640"/>
        </w:tabs>
        <w:rPr>
          <w:rFonts w:ascii="Rockwell" w:hAnsi="Rockwell" w:cs="Arial"/>
          <w:szCs w:val="24"/>
        </w:rPr>
      </w:pPr>
      <w:r>
        <w:rPr>
          <w:rFonts w:ascii="Rockwell" w:hAnsi="Rockwell" w:cs="Arial"/>
          <w:szCs w:val="24"/>
        </w:rPr>
        <w:lastRenderedPageBreak/>
        <w:tab/>
        <w:t xml:space="preserve"> </w:t>
      </w:r>
    </w:p>
    <w:p w:rsidR="0033284C" w:rsidRDefault="00B71AA1" w:rsidP="0033284C">
      <w:pPr>
        <w:tabs>
          <w:tab w:val="left" w:pos="7110"/>
          <w:tab w:val="left" w:pos="8640"/>
        </w:tabs>
        <w:rPr>
          <w:rFonts w:ascii="Rockwell" w:hAnsi="Rockwell" w:cs="Arial"/>
          <w:szCs w:val="24"/>
        </w:rPr>
      </w:pPr>
      <w:r>
        <w:rPr>
          <w:rFonts w:ascii="Rockwell" w:hAnsi="Rockwell" w:cs="Arial"/>
          <w:szCs w:val="24"/>
        </w:rPr>
        <w:tab/>
        <w:t xml:space="preserve"> </w:t>
      </w:r>
      <w:r w:rsidR="0033284C">
        <w:rPr>
          <w:rFonts w:ascii="Rockwell" w:hAnsi="Rockwell" w:cs="Arial"/>
          <w:szCs w:val="24"/>
        </w:rPr>
        <w:t>Pols. “A”</w:t>
      </w:r>
    </w:p>
    <w:p w:rsidR="0033284C" w:rsidRPr="00A76BA5" w:rsidRDefault="0033284C" w:rsidP="00960936">
      <w:pPr>
        <w:tabs>
          <w:tab w:val="left" w:pos="7110"/>
          <w:tab w:val="left" w:pos="8640"/>
        </w:tabs>
        <w:rPr>
          <w:rFonts w:ascii="Rockwell" w:hAnsi="Rockwell" w:cs="Arial"/>
          <w:szCs w:val="24"/>
        </w:rPr>
      </w:pPr>
      <w:r>
        <w:rPr>
          <w:rFonts w:ascii="Rockwell" w:hAnsi="Rockwell" w:cs="Arial"/>
          <w:szCs w:val="24"/>
        </w:rPr>
        <w:tab/>
        <w:t xml:space="preserve"> Resolution </w:t>
      </w:r>
      <w:r w:rsidR="002F22B4">
        <w:rPr>
          <w:rFonts w:ascii="Rockwell" w:hAnsi="Rockwell" w:cs="Arial"/>
          <w:szCs w:val="24"/>
        </w:rPr>
        <w:t>18</w:t>
      </w:r>
      <w:r>
        <w:rPr>
          <w:rFonts w:ascii="Rockwell" w:hAnsi="Rockwell" w:cs="Arial"/>
          <w:szCs w:val="24"/>
        </w:rPr>
        <w:t>-24</w:t>
      </w:r>
    </w:p>
    <w:p w:rsidR="0033284C" w:rsidRPr="00961218" w:rsidRDefault="0033284C" w:rsidP="0033284C">
      <w:pPr>
        <w:tabs>
          <w:tab w:val="left" w:pos="2160"/>
          <w:tab w:val="left" w:pos="7200"/>
          <w:tab w:val="left" w:pos="8640"/>
        </w:tabs>
        <w:rPr>
          <w:rFonts w:ascii="Rockwell" w:hAnsi="Rockwell" w:cs="Arial"/>
          <w:b/>
          <w:bCs/>
          <w:szCs w:val="24"/>
          <w:u w:val="single"/>
        </w:rPr>
      </w:pPr>
      <w:r>
        <w:rPr>
          <w:rFonts w:ascii="Rockwell" w:hAnsi="Rockwell" w:cs="Arial"/>
          <w:b/>
          <w:bCs/>
          <w:szCs w:val="24"/>
          <w:u w:val="single"/>
        </w:rPr>
        <w:t xml:space="preserve">Update Sick Leave </w:t>
      </w:r>
      <w:r w:rsidR="00960936">
        <w:rPr>
          <w:rFonts w:ascii="Rockwell" w:hAnsi="Rockwell" w:cs="Arial"/>
          <w:b/>
          <w:bCs/>
          <w:szCs w:val="24"/>
          <w:u w:val="single"/>
        </w:rPr>
        <w:t>Policy</w:t>
      </w:r>
      <w:r>
        <w:rPr>
          <w:rFonts w:ascii="Rockwell" w:hAnsi="Rockwell" w:cs="Arial"/>
          <w:b/>
          <w:bCs/>
          <w:szCs w:val="24"/>
          <w:u w:val="single"/>
        </w:rPr>
        <w:t>: HR 4.4.2</w:t>
      </w:r>
      <w:r w:rsidR="00960936">
        <w:rPr>
          <w:rFonts w:ascii="Rockwell" w:hAnsi="Rockwell" w:cs="Arial"/>
          <w:b/>
          <w:bCs/>
          <w:szCs w:val="24"/>
          <w:u w:val="single"/>
        </w:rPr>
        <w:t xml:space="preserve"> to allow Sick Leave Borrowing</w:t>
      </w:r>
    </w:p>
    <w:p w:rsidR="0033284C" w:rsidRPr="007B626C" w:rsidRDefault="00C30D78" w:rsidP="0033284C">
      <w:pPr>
        <w:tabs>
          <w:tab w:val="left" w:pos="2160"/>
          <w:tab w:val="left" w:pos="7200"/>
          <w:tab w:val="left" w:pos="8640"/>
        </w:tabs>
        <w:rPr>
          <w:rFonts w:ascii="Rockwell" w:hAnsi="Rockwell" w:cs="Arial"/>
          <w:b/>
          <w:bCs/>
          <w:szCs w:val="24"/>
          <w:u w:val="single"/>
        </w:rPr>
      </w:pPr>
      <w:r>
        <w:rPr>
          <w:rFonts w:ascii="Rockwell" w:hAnsi="Rockwell" w:cs="Arial"/>
          <w:bCs/>
          <w:szCs w:val="24"/>
        </w:rPr>
        <w:t>L. Graves</w:t>
      </w:r>
      <w:r w:rsidR="0033284C">
        <w:rPr>
          <w:rFonts w:ascii="Rockwell" w:hAnsi="Rockwell" w:cs="Arial"/>
          <w:bCs/>
          <w:szCs w:val="24"/>
        </w:rPr>
        <w:t xml:space="preserve"> </w:t>
      </w:r>
      <w:r w:rsidR="0033284C" w:rsidRPr="008C50DA">
        <w:rPr>
          <w:rFonts w:ascii="Rockwell" w:hAnsi="Rockwell" w:cs="Arial"/>
          <w:szCs w:val="24"/>
        </w:rPr>
        <w:t>m</w:t>
      </w:r>
      <w:r w:rsidR="0033284C">
        <w:rPr>
          <w:rFonts w:ascii="Rockwell" w:hAnsi="Rockwell" w:cs="Arial"/>
          <w:szCs w:val="24"/>
        </w:rPr>
        <w:t xml:space="preserve">oved and </w:t>
      </w:r>
      <w:r>
        <w:rPr>
          <w:rFonts w:ascii="Rockwell" w:hAnsi="Rockwell" w:cs="Arial"/>
          <w:sz w:val="22"/>
          <w:szCs w:val="22"/>
        </w:rPr>
        <w:t xml:space="preserve">A. Oyer </w:t>
      </w:r>
      <w:r w:rsidR="0033284C" w:rsidRPr="008C50DA">
        <w:rPr>
          <w:rFonts w:ascii="Rockwell" w:hAnsi="Rockwell" w:cs="Arial"/>
          <w:szCs w:val="24"/>
        </w:rPr>
        <w:t>seconded the adoption of the following resolution.</w:t>
      </w:r>
    </w:p>
    <w:p w:rsidR="0033284C" w:rsidRPr="006976F4" w:rsidRDefault="0033284C" w:rsidP="0033284C">
      <w:pPr>
        <w:tabs>
          <w:tab w:val="left" w:pos="7110"/>
          <w:tab w:val="left" w:pos="8640"/>
        </w:tabs>
        <w:rPr>
          <w:rFonts w:ascii="Rockwell" w:hAnsi="Rockwell" w:cs="Arial"/>
          <w:i/>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sidR="00960936">
        <w:rPr>
          <w:rFonts w:ascii="Rockwell" w:hAnsi="Rockwell" w:cs="Arial"/>
          <w:szCs w:val="24"/>
          <w:lang w:eastAsia="x-none"/>
        </w:rPr>
        <w:t>HR Policy 4.4.2 be updated as presented to allow employees to borrow sick leave from their future accruals w</w:t>
      </w:r>
      <w:r w:rsidR="006976F4">
        <w:rPr>
          <w:rFonts w:ascii="Rockwell" w:hAnsi="Rockwell" w:cs="Arial"/>
          <w:szCs w:val="24"/>
          <w:lang w:eastAsia="x-none"/>
        </w:rPr>
        <w:t xml:space="preserve">ithin the guidelines set forth, </w:t>
      </w:r>
      <w:r w:rsidR="006976F4" w:rsidRPr="000B2664">
        <w:rPr>
          <w:rFonts w:ascii="Rockwell" w:hAnsi="Rockwell" w:cs="Arial"/>
          <w:szCs w:val="24"/>
          <w:lang w:eastAsia="x-none"/>
        </w:rPr>
        <w:t>effective March 24, 2024.</w:t>
      </w:r>
      <w:r w:rsidRPr="006976F4">
        <w:rPr>
          <w:rFonts w:ascii="Rockwell" w:hAnsi="Rockwell" w:cs="Arial"/>
          <w:i/>
          <w:szCs w:val="24"/>
        </w:rPr>
        <w:t xml:space="preserve">                          </w:t>
      </w:r>
    </w:p>
    <w:p w:rsidR="0033284C" w:rsidRPr="006976F4" w:rsidRDefault="0033284C" w:rsidP="0033284C">
      <w:pPr>
        <w:tabs>
          <w:tab w:val="left" w:pos="2160"/>
          <w:tab w:val="left" w:pos="7200"/>
          <w:tab w:val="left" w:pos="8640"/>
        </w:tabs>
        <w:rPr>
          <w:rFonts w:ascii="Rockwell" w:hAnsi="Rockwell" w:cs="Arial"/>
          <w:bCs/>
          <w:i/>
          <w:szCs w:val="24"/>
        </w:rPr>
      </w:pPr>
    </w:p>
    <w:p w:rsidR="00960936" w:rsidRDefault="00960936" w:rsidP="00960936">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C2580D" w:rsidRDefault="00C2580D" w:rsidP="0033284C">
      <w:pPr>
        <w:tabs>
          <w:tab w:val="left" w:pos="7110"/>
          <w:tab w:val="left" w:pos="8640"/>
        </w:tabs>
        <w:rPr>
          <w:rFonts w:ascii="Rockwell" w:hAnsi="Rockwell" w:cs="Arial"/>
          <w:szCs w:val="24"/>
        </w:rPr>
      </w:pPr>
    </w:p>
    <w:p w:rsidR="00B6087F" w:rsidRPr="00B6087F" w:rsidRDefault="00B6087F" w:rsidP="00B6087F">
      <w:pPr>
        <w:spacing w:after="160"/>
        <w:textAlignment w:val="baseline"/>
        <w:rPr>
          <w:sz w:val="20"/>
        </w:rPr>
      </w:pPr>
      <w:r w:rsidRPr="00B6087F">
        <w:rPr>
          <w:rFonts w:ascii="Arial" w:hAnsi="Arial" w:cs="Arial"/>
          <w:b/>
          <w:bCs/>
          <w:color w:val="FF0000"/>
          <w:sz w:val="20"/>
        </w:rPr>
        <w:t xml:space="preserve">DRAFT </w:t>
      </w:r>
      <w:r w:rsidRPr="00B6087F">
        <w:rPr>
          <w:rFonts w:ascii="Arial" w:hAnsi="Arial" w:cs="Arial"/>
          <w:b/>
          <w:bCs/>
          <w:sz w:val="20"/>
        </w:rPr>
        <w:t>4.4.2 Sick Leave</w:t>
      </w:r>
      <w:r w:rsidRPr="00B6087F">
        <w:rPr>
          <w:rFonts w:ascii="Arial" w:hAnsi="Arial" w:cs="Arial"/>
          <w:sz w:val="20"/>
        </w:rPr>
        <w:t> </w:t>
      </w:r>
    </w:p>
    <w:p w:rsidR="00B6087F" w:rsidRPr="00B6087F" w:rsidRDefault="00B6087F" w:rsidP="00B6087F">
      <w:pPr>
        <w:spacing w:after="160"/>
        <w:textAlignment w:val="baseline"/>
        <w:rPr>
          <w:sz w:val="20"/>
        </w:rPr>
      </w:pPr>
      <w:r w:rsidRPr="00B6087F">
        <w:rPr>
          <w:rFonts w:ascii="Arial" w:hAnsi="Arial" w:cs="Arial"/>
          <w:sz w:val="20"/>
        </w:rPr>
        <w:t>Sick leave is accrued by all regular full-time employees, regular part-time and part-time employees.  </w:t>
      </w:r>
    </w:p>
    <w:p w:rsidR="00B6087F" w:rsidRPr="00B6087F" w:rsidRDefault="00B6087F" w:rsidP="00B6087F">
      <w:pPr>
        <w:spacing w:after="160"/>
        <w:textAlignment w:val="baseline"/>
        <w:rPr>
          <w:sz w:val="20"/>
        </w:rPr>
      </w:pPr>
      <w:r w:rsidRPr="00B6087F">
        <w:rPr>
          <w:rFonts w:ascii="Arial" w:hAnsi="Arial" w:cs="Arial"/>
          <w:sz w:val="20"/>
        </w:rPr>
        <w:t>A new employee may transfer accumulated sick leave credit from another Ohio public library or Ohio public agency up to the maximum accumulation permitted above. The Chief Fiscal Officer will require an official accounting of hours from the employee’s previous public employer.  </w:t>
      </w:r>
    </w:p>
    <w:p w:rsidR="00B6087F" w:rsidRPr="00B6087F" w:rsidRDefault="00B6087F" w:rsidP="00B6087F">
      <w:pPr>
        <w:spacing w:after="160"/>
        <w:textAlignment w:val="baseline"/>
        <w:rPr>
          <w:sz w:val="20"/>
        </w:rPr>
      </w:pPr>
      <w:r w:rsidRPr="00B6087F">
        <w:rPr>
          <w:rFonts w:ascii="Arial" w:hAnsi="Arial" w:cs="Arial"/>
          <w:sz w:val="20"/>
        </w:rPr>
        <w:t>Sick leave accrues at the following rates:  </w:t>
      </w:r>
    </w:p>
    <w:p w:rsidR="00B6087F" w:rsidRPr="00B6087F" w:rsidRDefault="00B6087F" w:rsidP="00B6087F">
      <w:pPr>
        <w:spacing w:after="160"/>
        <w:textAlignment w:val="baseline"/>
        <w:rPr>
          <w:sz w:val="20"/>
        </w:rPr>
      </w:pPr>
      <w:r w:rsidRPr="00B6087F">
        <w:rPr>
          <w:rFonts w:asciiTheme="minorHAnsi" w:eastAsiaTheme="minorHAnsi" w:hAnsiTheme="minorHAnsi" w:cstheme="minorBidi"/>
          <w:noProof/>
          <w:sz w:val="20"/>
        </w:rPr>
        <w:drawing>
          <wp:inline distT="0" distB="0" distL="0" distR="0" wp14:anchorId="29C43B69" wp14:editId="6828032F">
            <wp:extent cx="4438650" cy="1744912"/>
            <wp:effectExtent l="0" t="0" r="0" b="8255"/>
            <wp:docPr id="1" name="Picture 1" descr="C:\Users\jhill\AppData\Local\Microsoft\Windows\INetCache\Content.MSO\CB45BA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ll\AppData\Local\Microsoft\Windows\INetCache\Content.MSO\CB45BAD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5626" cy="1810553"/>
                    </a:xfrm>
                    <a:prstGeom prst="rect">
                      <a:avLst/>
                    </a:prstGeom>
                    <a:noFill/>
                    <a:ln>
                      <a:noFill/>
                    </a:ln>
                  </pic:spPr>
                </pic:pic>
              </a:graphicData>
            </a:graphic>
          </wp:inline>
        </w:drawing>
      </w:r>
      <w:r w:rsidRPr="00B6087F">
        <w:rPr>
          <w:rFonts w:ascii="Arial" w:hAnsi="Arial" w:cs="Arial"/>
          <w:sz w:val="20"/>
        </w:rPr>
        <w:t> </w:t>
      </w:r>
    </w:p>
    <w:p w:rsidR="00B6087F" w:rsidRPr="00B6087F" w:rsidRDefault="00B6087F" w:rsidP="00B6087F">
      <w:pPr>
        <w:spacing w:after="160"/>
        <w:textAlignment w:val="baseline"/>
        <w:rPr>
          <w:sz w:val="20"/>
        </w:rPr>
      </w:pPr>
      <w:r w:rsidRPr="00B6087F">
        <w:rPr>
          <w:rFonts w:ascii="Arial" w:hAnsi="Arial" w:cs="Arial"/>
          <w:sz w:val="20"/>
        </w:rPr>
        <w:t>At the discretion of the Executive Director, absences may require relevant documentation. Sick leave may be used only in the following instances </w:t>
      </w:r>
    </w:p>
    <w:p w:rsidR="00B6087F" w:rsidRPr="00B6087F" w:rsidRDefault="00B6087F" w:rsidP="00B6087F">
      <w:pPr>
        <w:numPr>
          <w:ilvl w:val="0"/>
          <w:numId w:val="3"/>
        </w:numPr>
        <w:spacing w:before="100" w:beforeAutospacing="1" w:after="100" w:afterAutospacing="1" w:line="259" w:lineRule="auto"/>
        <w:ind w:left="1080" w:firstLine="0"/>
        <w:textAlignment w:val="baseline"/>
        <w:rPr>
          <w:rFonts w:ascii="Arial" w:hAnsi="Arial" w:cs="Arial"/>
          <w:sz w:val="20"/>
        </w:rPr>
      </w:pPr>
      <w:r w:rsidRPr="00B6087F">
        <w:rPr>
          <w:rFonts w:ascii="Arial" w:hAnsi="Arial" w:cs="Arial"/>
          <w:sz w:val="20"/>
        </w:rPr>
        <w:t>Illness or injury to the employee. </w:t>
      </w:r>
    </w:p>
    <w:p w:rsidR="00B6087F" w:rsidRPr="00B6087F" w:rsidRDefault="00B6087F" w:rsidP="00B6087F">
      <w:pPr>
        <w:numPr>
          <w:ilvl w:val="0"/>
          <w:numId w:val="3"/>
        </w:numPr>
        <w:spacing w:before="100" w:beforeAutospacing="1" w:after="100" w:afterAutospacing="1" w:line="259" w:lineRule="auto"/>
        <w:ind w:left="1080" w:firstLine="0"/>
        <w:textAlignment w:val="baseline"/>
        <w:rPr>
          <w:rFonts w:ascii="Arial" w:hAnsi="Arial" w:cs="Arial"/>
          <w:sz w:val="20"/>
        </w:rPr>
      </w:pPr>
      <w:r w:rsidRPr="00B6087F">
        <w:rPr>
          <w:rFonts w:ascii="Arial" w:hAnsi="Arial" w:cs="Arial"/>
          <w:sz w:val="20"/>
        </w:rPr>
        <w:t>Illness in the immediate family requiring the presence of the employee. </w:t>
      </w:r>
    </w:p>
    <w:p w:rsidR="00B6087F" w:rsidRPr="00B6087F" w:rsidRDefault="00B6087F" w:rsidP="00B6087F">
      <w:pPr>
        <w:numPr>
          <w:ilvl w:val="0"/>
          <w:numId w:val="3"/>
        </w:numPr>
        <w:spacing w:before="100" w:beforeAutospacing="1" w:after="100" w:afterAutospacing="1" w:line="259" w:lineRule="auto"/>
        <w:ind w:left="1080" w:firstLine="0"/>
        <w:textAlignment w:val="baseline"/>
        <w:rPr>
          <w:rFonts w:ascii="Arial" w:hAnsi="Arial" w:cs="Arial"/>
          <w:sz w:val="20"/>
        </w:rPr>
      </w:pPr>
      <w:r w:rsidRPr="00B6087F">
        <w:rPr>
          <w:rFonts w:ascii="Arial" w:hAnsi="Arial" w:cs="Arial"/>
          <w:sz w:val="20"/>
        </w:rPr>
        <w:t>Other FMLA qualifying events. </w:t>
      </w:r>
    </w:p>
    <w:p w:rsidR="00B6087F" w:rsidRPr="00B6087F" w:rsidRDefault="00B6087F" w:rsidP="00B6087F">
      <w:pPr>
        <w:numPr>
          <w:ilvl w:val="0"/>
          <w:numId w:val="3"/>
        </w:numPr>
        <w:spacing w:before="100" w:beforeAutospacing="1" w:after="100" w:afterAutospacing="1" w:line="259" w:lineRule="auto"/>
        <w:ind w:left="1080" w:firstLine="0"/>
        <w:textAlignment w:val="baseline"/>
        <w:rPr>
          <w:rFonts w:ascii="Arial" w:hAnsi="Arial" w:cs="Arial"/>
          <w:sz w:val="20"/>
        </w:rPr>
      </w:pPr>
      <w:r w:rsidRPr="00B6087F">
        <w:rPr>
          <w:rFonts w:ascii="Arial" w:hAnsi="Arial" w:cs="Arial"/>
          <w:sz w:val="20"/>
        </w:rPr>
        <w:t>Death in the immediate family: spouse, children and stepchildren (whether dependent or not), siblings, parents, grandparents, and grandchildren; or death of a relative living in the same household; or at the discretion of the Executive Director. </w:t>
      </w:r>
    </w:p>
    <w:p w:rsidR="00B6087F" w:rsidRPr="00F3502E" w:rsidRDefault="00B6087F" w:rsidP="00B6087F">
      <w:pPr>
        <w:numPr>
          <w:ilvl w:val="0"/>
          <w:numId w:val="3"/>
        </w:numPr>
        <w:spacing w:before="100" w:beforeAutospacing="1" w:after="100" w:afterAutospacing="1" w:line="259" w:lineRule="auto"/>
        <w:ind w:left="1080" w:firstLine="0"/>
        <w:textAlignment w:val="baseline"/>
        <w:rPr>
          <w:rFonts w:ascii="Arial" w:hAnsi="Arial" w:cs="Arial"/>
          <w:sz w:val="20"/>
        </w:rPr>
      </w:pPr>
      <w:r w:rsidRPr="00B6087F">
        <w:rPr>
          <w:rFonts w:ascii="Arial" w:hAnsi="Arial" w:cs="Arial"/>
          <w:sz w:val="20"/>
        </w:rPr>
        <w:t>Time used for visits to doctors and other medical professionals may be counted as sick leave.  </w:t>
      </w:r>
    </w:p>
    <w:p w:rsidR="00B6087F" w:rsidRPr="00B6087F" w:rsidRDefault="00B6087F" w:rsidP="00B6087F">
      <w:pPr>
        <w:spacing w:after="160"/>
        <w:textAlignment w:val="baseline"/>
        <w:rPr>
          <w:sz w:val="20"/>
        </w:rPr>
      </w:pPr>
      <w:r w:rsidRPr="00B6087F">
        <w:rPr>
          <w:rFonts w:ascii="Arial" w:hAnsi="Arial" w:cs="Arial"/>
          <w:sz w:val="20"/>
        </w:rPr>
        <w:t>With approval of the Executive Director or the HR Manager, an employee may borrow a scheduled amount of sick leave one-time within a 12-month period. The request is not to exceed the equivalent of two weeks of the employee’s regular schedule. </w:t>
      </w:r>
    </w:p>
    <w:p w:rsidR="00B2034E" w:rsidRDefault="00B6087F" w:rsidP="00B6087F">
      <w:pPr>
        <w:tabs>
          <w:tab w:val="left" w:pos="7110"/>
          <w:tab w:val="left" w:pos="8640"/>
        </w:tabs>
        <w:rPr>
          <w:rFonts w:ascii="Arial" w:eastAsiaTheme="minorHAnsi" w:hAnsi="Arial" w:cs="Arial"/>
          <w:sz w:val="20"/>
        </w:rPr>
      </w:pPr>
      <w:r w:rsidRPr="00B6087F">
        <w:rPr>
          <w:rFonts w:ascii="Arial" w:eastAsiaTheme="minorHAnsi" w:hAnsi="Arial" w:cs="Arial"/>
          <w:sz w:val="20"/>
        </w:rPr>
        <w:t>An employee who has borrowed sick leave time and then leaves employment with a deficit of time will reimburse CRCPL for the difference by deduction of the employee’s final paycheck(s).</w:t>
      </w:r>
    </w:p>
    <w:p w:rsidR="00B6087F" w:rsidRDefault="00B6087F" w:rsidP="00B6087F">
      <w:pPr>
        <w:tabs>
          <w:tab w:val="left" w:pos="7110"/>
          <w:tab w:val="left" w:pos="8640"/>
        </w:tabs>
        <w:rPr>
          <w:rFonts w:ascii="Arial" w:eastAsiaTheme="minorHAnsi" w:hAnsi="Arial" w:cs="Arial"/>
          <w:sz w:val="20"/>
        </w:rPr>
      </w:pPr>
    </w:p>
    <w:p w:rsidR="00B6087F" w:rsidRPr="00B6087F" w:rsidRDefault="00B6087F" w:rsidP="00B6087F">
      <w:pPr>
        <w:tabs>
          <w:tab w:val="left" w:pos="7110"/>
          <w:tab w:val="left" w:pos="8640"/>
        </w:tabs>
        <w:rPr>
          <w:rFonts w:ascii="Rockwell" w:hAnsi="Rockwell" w:cs="Arial"/>
          <w:sz w:val="20"/>
        </w:rPr>
      </w:pPr>
    </w:p>
    <w:p w:rsidR="0033284C" w:rsidRPr="001D05EB" w:rsidRDefault="00C2580D" w:rsidP="0033284C">
      <w:pPr>
        <w:tabs>
          <w:tab w:val="left" w:pos="7110"/>
          <w:tab w:val="left" w:pos="8640"/>
        </w:tabs>
        <w:rPr>
          <w:rFonts w:ascii="Rockwell" w:hAnsi="Rockwell" w:cs="Arial"/>
          <w:szCs w:val="24"/>
        </w:rPr>
      </w:pPr>
      <w:r>
        <w:rPr>
          <w:rFonts w:ascii="Rockwell" w:hAnsi="Rockwell" w:cs="Arial"/>
          <w:b/>
          <w:szCs w:val="24"/>
        </w:rPr>
        <w:t xml:space="preserve">Approve Northside Design Services Transfer </w:t>
      </w:r>
      <w:r>
        <w:rPr>
          <w:rFonts w:ascii="Rockwell" w:hAnsi="Rockwell" w:cs="Arial"/>
          <w:szCs w:val="24"/>
        </w:rPr>
        <w:t>Last month, the Board approved moving forward with design services for the N</w:t>
      </w:r>
      <w:r w:rsidR="00BE789D">
        <w:rPr>
          <w:rFonts w:ascii="Rockwell" w:hAnsi="Rockwell" w:cs="Arial"/>
          <w:szCs w:val="24"/>
        </w:rPr>
        <w:t>orthside renovation</w:t>
      </w:r>
      <w:r w:rsidR="004D0BE2">
        <w:rPr>
          <w:rFonts w:ascii="Rockwell" w:hAnsi="Rockwell" w:cs="Arial"/>
          <w:szCs w:val="24"/>
        </w:rPr>
        <w:t xml:space="preserve"> not to exceed $45,000</w:t>
      </w:r>
      <w:r w:rsidR="00BE789D">
        <w:rPr>
          <w:rFonts w:ascii="Rockwell" w:hAnsi="Rockwell" w:cs="Arial"/>
          <w:szCs w:val="24"/>
        </w:rPr>
        <w:t>. Once the final price was submitted, Cassie moved the money from Building Improvements to Engineering Services</w:t>
      </w:r>
      <w:r w:rsidR="005C3CFC">
        <w:rPr>
          <w:rFonts w:ascii="Rockwell" w:hAnsi="Rockwell" w:cs="Arial"/>
          <w:szCs w:val="24"/>
        </w:rPr>
        <w:t xml:space="preserve"> to proceed</w:t>
      </w:r>
      <w:r w:rsidR="00BE789D">
        <w:rPr>
          <w:rFonts w:ascii="Rockwell" w:hAnsi="Rockwell" w:cs="Arial"/>
          <w:szCs w:val="24"/>
        </w:rPr>
        <w:t xml:space="preserve">. </w:t>
      </w:r>
    </w:p>
    <w:p w:rsidR="00C2580D" w:rsidRDefault="00C2580D" w:rsidP="00C2580D">
      <w:pPr>
        <w:tabs>
          <w:tab w:val="left" w:pos="7110"/>
          <w:tab w:val="left" w:pos="8640"/>
        </w:tabs>
        <w:rPr>
          <w:rFonts w:ascii="Rockwell" w:hAnsi="Rockwell" w:cs="Arial"/>
          <w:szCs w:val="24"/>
        </w:rPr>
      </w:pPr>
      <w:r>
        <w:rPr>
          <w:rFonts w:ascii="Rockwell" w:hAnsi="Rockwell" w:cs="Arial"/>
          <w:szCs w:val="24"/>
        </w:rPr>
        <w:tab/>
        <w:t xml:space="preserve"> Gen. Fin. “A”</w:t>
      </w:r>
    </w:p>
    <w:p w:rsidR="00C2580D" w:rsidRPr="00A76BA5" w:rsidRDefault="00C2580D" w:rsidP="00C2580D">
      <w:pPr>
        <w:tabs>
          <w:tab w:val="left" w:pos="7110"/>
          <w:tab w:val="left" w:pos="8640"/>
        </w:tabs>
        <w:rPr>
          <w:rFonts w:ascii="Rockwell" w:hAnsi="Rockwell" w:cs="Arial"/>
          <w:szCs w:val="24"/>
        </w:rPr>
      </w:pPr>
      <w:r>
        <w:rPr>
          <w:rFonts w:ascii="Rockwell" w:hAnsi="Rockwell" w:cs="Arial"/>
          <w:szCs w:val="24"/>
        </w:rPr>
        <w:tab/>
        <w:t xml:space="preserve"> Resolution </w:t>
      </w:r>
      <w:r w:rsidR="002F22B4">
        <w:rPr>
          <w:rFonts w:ascii="Rockwell" w:hAnsi="Rockwell" w:cs="Arial"/>
          <w:szCs w:val="24"/>
        </w:rPr>
        <w:t>19</w:t>
      </w:r>
      <w:r>
        <w:rPr>
          <w:rFonts w:ascii="Rockwell" w:hAnsi="Rockwell" w:cs="Arial"/>
          <w:szCs w:val="24"/>
        </w:rPr>
        <w:t>-24</w:t>
      </w:r>
    </w:p>
    <w:p w:rsidR="00C2580D" w:rsidRPr="00961218" w:rsidRDefault="00C2580D" w:rsidP="00C2580D">
      <w:pPr>
        <w:tabs>
          <w:tab w:val="left" w:pos="2160"/>
          <w:tab w:val="left" w:pos="7200"/>
          <w:tab w:val="left" w:pos="8640"/>
        </w:tabs>
        <w:rPr>
          <w:rFonts w:ascii="Rockwell" w:hAnsi="Rockwell" w:cs="Arial"/>
          <w:b/>
          <w:bCs/>
          <w:szCs w:val="24"/>
          <w:u w:val="single"/>
        </w:rPr>
      </w:pPr>
      <w:r>
        <w:rPr>
          <w:rFonts w:ascii="Rockwell" w:hAnsi="Rockwell" w:cs="Arial"/>
          <w:b/>
          <w:bCs/>
          <w:szCs w:val="24"/>
          <w:u w:val="single"/>
        </w:rPr>
        <w:t xml:space="preserve">Ratify </w:t>
      </w:r>
      <w:r w:rsidR="00BE789D">
        <w:rPr>
          <w:rFonts w:ascii="Rockwell" w:hAnsi="Rockwell" w:cs="Arial"/>
          <w:b/>
          <w:bCs/>
          <w:szCs w:val="24"/>
          <w:u w:val="single"/>
        </w:rPr>
        <w:t xml:space="preserve">Building Fund </w:t>
      </w:r>
      <w:r>
        <w:rPr>
          <w:rFonts w:ascii="Rockwell" w:hAnsi="Rockwell" w:cs="Arial"/>
          <w:b/>
          <w:bCs/>
          <w:szCs w:val="24"/>
          <w:u w:val="single"/>
        </w:rPr>
        <w:t>Transfer for Northside Design Services</w:t>
      </w:r>
    </w:p>
    <w:p w:rsidR="00C2580D" w:rsidRPr="007B626C" w:rsidRDefault="00C30D78" w:rsidP="00C2580D">
      <w:pPr>
        <w:tabs>
          <w:tab w:val="left" w:pos="2160"/>
          <w:tab w:val="left" w:pos="7200"/>
          <w:tab w:val="left" w:pos="8640"/>
        </w:tabs>
        <w:rPr>
          <w:rFonts w:ascii="Rockwell" w:hAnsi="Rockwell" w:cs="Arial"/>
          <w:b/>
          <w:bCs/>
          <w:szCs w:val="24"/>
          <w:u w:val="single"/>
        </w:rPr>
      </w:pPr>
      <w:r>
        <w:rPr>
          <w:rFonts w:ascii="Rockwell" w:hAnsi="Rockwell" w:cs="Arial"/>
          <w:bCs/>
          <w:szCs w:val="24"/>
        </w:rPr>
        <w:t>A.Oyer</w:t>
      </w:r>
      <w:r w:rsidR="00C2580D">
        <w:rPr>
          <w:rFonts w:ascii="Rockwell" w:hAnsi="Rockwell" w:cs="Arial"/>
          <w:bCs/>
          <w:szCs w:val="24"/>
        </w:rPr>
        <w:t xml:space="preserve"> </w:t>
      </w:r>
      <w:r w:rsidR="00C2580D" w:rsidRPr="008C50DA">
        <w:rPr>
          <w:rFonts w:ascii="Rockwell" w:hAnsi="Rockwell" w:cs="Arial"/>
          <w:szCs w:val="24"/>
        </w:rPr>
        <w:t>m</w:t>
      </w:r>
      <w:r w:rsidR="00C2580D">
        <w:rPr>
          <w:rFonts w:ascii="Rockwell" w:hAnsi="Rockwell" w:cs="Arial"/>
          <w:szCs w:val="24"/>
        </w:rPr>
        <w:t xml:space="preserve">oved and </w:t>
      </w:r>
      <w:r>
        <w:rPr>
          <w:rFonts w:ascii="Rockwell" w:hAnsi="Rockwell" w:cs="Arial"/>
          <w:sz w:val="22"/>
          <w:szCs w:val="22"/>
        </w:rPr>
        <w:t xml:space="preserve">L. Graves </w:t>
      </w:r>
      <w:r w:rsidR="00C2580D" w:rsidRPr="008C50DA">
        <w:rPr>
          <w:rFonts w:ascii="Rockwell" w:hAnsi="Rockwell" w:cs="Arial"/>
          <w:szCs w:val="24"/>
        </w:rPr>
        <w:t>seconded the adoption of the following resolution.</w:t>
      </w:r>
    </w:p>
    <w:p w:rsidR="00C2580D" w:rsidRDefault="00C2580D" w:rsidP="00C2580D">
      <w:pPr>
        <w:tabs>
          <w:tab w:val="left" w:pos="7110"/>
          <w:tab w:val="left" w:pos="8640"/>
        </w:tabs>
        <w:rPr>
          <w:rFonts w:ascii="Rockwell" w:hAnsi="Rockwell" w:cs="Arial"/>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sidR="00BE789D">
        <w:rPr>
          <w:rFonts w:ascii="Rockwell" w:hAnsi="Rockwell" w:cs="Arial"/>
          <w:szCs w:val="24"/>
          <w:lang w:eastAsia="x-none"/>
        </w:rPr>
        <w:t>$38,633.97</w:t>
      </w:r>
      <w:r>
        <w:rPr>
          <w:rFonts w:ascii="Rockwell" w:hAnsi="Rockwell" w:cs="Arial"/>
          <w:szCs w:val="24"/>
          <w:lang w:eastAsia="x-none"/>
        </w:rPr>
        <w:t xml:space="preserve"> be </w:t>
      </w:r>
      <w:r w:rsidR="00BE789D">
        <w:rPr>
          <w:rFonts w:ascii="Rockwell" w:hAnsi="Rockwell" w:cs="Arial"/>
          <w:szCs w:val="24"/>
          <w:lang w:eastAsia="x-none"/>
        </w:rPr>
        <w:t>transferred from 4001-760-740-0000 (Building Improvements) to 4001-210-374-0000 (Engineering Services)</w:t>
      </w:r>
      <w:r>
        <w:rPr>
          <w:rFonts w:ascii="Rockwell" w:hAnsi="Rockwell" w:cs="Arial"/>
          <w:szCs w:val="24"/>
          <w:lang w:eastAsia="x-none"/>
        </w:rPr>
        <w:t xml:space="preserve">.  </w:t>
      </w:r>
      <w:r>
        <w:rPr>
          <w:rFonts w:ascii="Rockwell" w:hAnsi="Rockwell" w:cs="Arial"/>
          <w:szCs w:val="24"/>
        </w:rPr>
        <w:tab/>
        <w:t xml:space="preserve">                               </w:t>
      </w:r>
    </w:p>
    <w:p w:rsidR="00C2580D" w:rsidRPr="008C50DA" w:rsidRDefault="00C2580D" w:rsidP="00C2580D">
      <w:pPr>
        <w:tabs>
          <w:tab w:val="left" w:pos="2160"/>
          <w:tab w:val="left" w:pos="7200"/>
          <w:tab w:val="left" w:pos="8640"/>
        </w:tabs>
        <w:rPr>
          <w:rFonts w:ascii="Rockwell" w:hAnsi="Rockwell" w:cs="Arial"/>
          <w:bCs/>
          <w:szCs w:val="24"/>
        </w:rPr>
      </w:pPr>
    </w:p>
    <w:p w:rsidR="00C2580D" w:rsidRDefault="00C2580D" w:rsidP="00C2580D">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0B44C7" w:rsidRDefault="000B44C7" w:rsidP="00960936">
      <w:pPr>
        <w:tabs>
          <w:tab w:val="left" w:pos="7110"/>
          <w:tab w:val="left" w:pos="8640"/>
        </w:tabs>
        <w:rPr>
          <w:rFonts w:ascii="Rockwell" w:hAnsi="Rockwell" w:cs="Arial"/>
          <w:szCs w:val="24"/>
        </w:rPr>
      </w:pPr>
    </w:p>
    <w:p w:rsidR="000B44C7" w:rsidRDefault="000B44C7" w:rsidP="00960936">
      <w:pPr>
        <w:tabs>
          <w:tab w:val="left" w:pos="7110"/>
          <w:tab w:val="left" w:pos="8640"/>
        </w:tabs>
        <w:rPr>
          <w:rFonts w:ascii="Rockwell" w:hAnsi="Rockwell" w:cs="Arial"/>
          <w:szCs w:val="24"/>
        </w:rPr>
      </w:pPr>
    </w:p>
    <w:p w:rsidR="004D0BE2" w:rsidRDefault="000B44C7" w:rsidP="00960936">
      <w:pPr>
        <w:tabs>
          <w:tab w:val="left" w:pos="7110"/>
          <w:tab w:val="left" w:pos="8640"/>
        </w:tabs>
        <w:rPr>
          <w:rFonts w:ascii="Rockwell" w:hAnsi="Rockwell" w:cs="Arial"/>
          <w:szCs w:val="24"/>
        </w:rPr>
      </w:pPr>
      <w:r w:rsidRPr="008B34B7">
        <w:rPr>
          <w:rFonts w:ascii="Rockwell" w:hAnsi="Rockwell" w:cs="Arial"/>
          <w:b/>
          <w:szCs w:val="24"/>
          <w:u w:val="single"/>
        </w:rPr>
        <w:t xml:space="preserve">Annex Change Order </w:t>
      </w:r>
      <w:r w:rsidR="004D0BE2" w:rsidRPr="008B34B7">
        <w:rPr>
          <w:rFonts w:ascii="Rockwell" w:hAnsi="Rockwell" w:cs="Arial"/>
          <w:szCs w:val="24"/>
        </w:rPr>
        <w:t>This should be our final change order for the Annex renovations and encomp</w:t>
      </w:r>
      <w:r w:rsidR="008B34B7" w:rsidRPr="008B34B7">
        <w:rPr>
          <w:rFonts w:ascii="Rockwell" w:hAnsi="Rockwell" w:cs="Arial"/>
          <w:szCs w:val="24"/>
        </w:rPr>
        <w:t>asses</w:t>
      </w:r>
      <w:r w:rsidR="008B34B7">
        <w:rPr>
          <w:rFonts w:ascii="Rockwell" w:hAnsi="Rockwell" w:cs="Arial"/>
          <w:szCs w:val="24"/>
        </w:rPr>
        <w:t xml:space="preserve"> several changes, including additional electrical work and engineering services for revisions to the HR office.</w:t>
      </w:r>
    </w:p>
    <w:p w:rsidR="003330D7" w:rsidRPr="003330D7" w:rsidRDefault="003330D7" w:rsidP="003330D7">
      <w:pPr>
        <w:tabs>
          <w:tab w:val="left" w:pos="7110"/>
          <w:tab w:val="left" w:pos="8640"/>
        </w:tabs>
        <w:rPr>
          <w:rFonts w:ascii="Rockwell" w:hAnsi="Rockwell" w:cs="Arial"/>
          <w:szCs w:val="24"/>
        </w:rPr>
      </w:pPr>
      <w:r>
        <w:rPr>
          <w:rFonts w:ascii="Rockwell" w:hAnsi="Rockwell" w:cs="Arial"/>
          <w:szCs w:val="24"/>
        </w:rPr>
        <w:tab/>
      </w:r>
      <w:r w:rsidRPr="003330D7">
        <w:rPr>
          <w:rFonts w:ascii="Rockwell" w:hAnsi="Rockwell" w:cs="Arial"/>
          <w:szCs w:val="24"/>
        </w:rPr>
        <w:t>Gen Fin. “B”</w:t>
      </w:r>
    </w:p>
    <w:p w:rsidR="004D0BE2" w:rsidRDefault="003330D7" w:rsidP="003330D7">
      <w:pPr>
        <w:tabs>
          <w:tab w:val="left" w:pos="7110"/>
          <w:tab w:val="left" w:pos="8640"/>
        </w:tabs>
        <w:rPr>
          <w:rFonts w:ascii="Rockwell" w:hAnsi="Rockwell" w:cs="Arial"/>
          <w:szCs w:val="24"/>
        </w:rPr>
      </w:pPr>
      <w:r>
        <w:rPr>
          <w:rFonts w:ascii="Rockwell" w:hAnsi="Rockwell" w:cs="Arial"/>
          <w:szCs w:val="24"/>
        </w:rPr>
        <w:tab/>
        <w:t xml:space="preserve">Resolution </w:t>
      </w:r>
      <w:r w:rsidR="00BD174C">
        <w:rPr>
          <w:rFonts w:ascii="Rockwell" w:hAnsi="Rockwell" w:cs="Arial"/>
          <w:szCs w:val="24"/>
        </w:rPr>
        <w:t>2</w:t>
      </w:r>
      <w:r w:rsidR="002F22B4">
        <w:rPr>
          <w:rFonts w:ascii="Rockwell" w:hAnsi="Rockwell" w:cs="Arial"/>
          <w:szCs w:val="24"/>
        </w:rPr>
        <w:t>0</w:t>
      </w:r>
      <w:r>
        <w:rPr>
          <w:rFonts w:ascii="Rockwell" w:hAnsi="Rockwell" w:cs="Arial"/>
          <w:szCs w:val="24"/>
        </w:rPr>
        <w:t>-24</w:t>
      </w:r>
    </w:p>
    <w:p w:rsidR="000B44C7" w:rsidRDefault="004D0BE2" w:rsidP="00960936">
      <w:pPr>
        <w:tabs>
          <w:tab w:val="left" w:pos="7110"/>
          <w:tab w:val="left" w:pos="8640"/>
        </w:tabs>
        <w:rPr>
          <w:rFonts w:ascii="Rockwell" w:hAnsi="Rockwell" w:cs="Arial"/>
          <w:b/>
          <w:szCs w:val="24"/>
          <w:u w:val="single"/>
        </w:rPr>
      </w:pPr>
      <w:r>
        <w:rPr>
          <w:rFonts w:ascii="Rockwell" w:hAnsi="Rockwell" w:cs="Arial"/>
          <w:b/>
          <w:szCs w:val="24"/>
          <w:u w:val="single"/>
        </w:rPr>
        <w:t xml:space="preserve">Approve Johnson-Laux Change Order </w:t>
      </w:r>
      <w:r w:rsidR="003330D7">
        <w:rPr>
          <w:rFonts w:ascii="Rockwell" w:hAnsi="Rockwell" w:cs="Arial"/>
          <w:b/>
          <w:szCs w:val="24"/>
          <w:u w:val="single"/>
        </w:rPr>
        <w:t>#6</w:t>
      </w:r>
    </w:p>
    <w:p w:rsidR="003330D7" w:rsidRPr="003330D7" w:rsidRDefault="00C30D78" w:rsidP="003330D7">
      <w:pPr>
        <w:tabs>
          <w:tab w:val="left" w:pos="7110"/>
          <w:tab w:val="left" w:pos="8640"/>
        </w:tabs>
        <w:rPr>
          <w:rFonts w:ascii="Rockwell" w:hAnsi="Rockwell" w:cs="Arial"/>
          <w:szCs w:val="24"/>
        </w:rPr>
      </w:pPr>
      <w:r>
        <w:rPr>
          <w:rFonts w:ascii="Rockwell" w:hAnsi="Rockwell" w:cs="Arial"/>
          <w:szCs w:val="24"/>
        </w:rPr>
        <w:t>L. Graves</w:t>
      </w:r>
      <w:r w:rsidR="003330D7" w:rsidRPr="003330D7">
        <w:rPr>
          <w:rFonts w:ascii="Rockwell" w:hAnsi="Rockwell" w:cs="Arial"/>
          <w:szCs w:val="24"/>
        </w:rPr>
        <w:t xml:space="preserve"> moved and </w:t>
      </w:r>
      <w:r>
        <w:rPr>
          <w:rFonts w:ascii="Rockwell" w:hAnsi="Rockwell" w:cs="Arial"/>
          <w:szCs w:val="24"/>
        </w:rPr>
        <w:t xml:space="preserve">A. Oyer </w:t>
      </w:r>
      <w:r w:rsidR="003330D7" w:rsidRPr="003330D7">
        <w:rPr>
          <w:rFonts w:ascii="Rockwell" w:hAnsi="Rockwell" w:cs="Arial"/>
          <w:szCs w:val="24"/>
        </w:rPr>
        <w:t>seconded the adoption of the following resolution.</w:t>
      </w:r>
    </w:p>
    <w:p w:rsidR="003330D7" w:rsidRPr="003330D7" w:rsidRDefault="003330D7" w:rsidP="003330D7">
      <w:pPr>
        <w:tabs>
          <w:tab w:val="left" w:pos="7110"/>
          <w:tab w:val="left" w:pos="8640"/>
        </w:tabs>
        <w:rPr>
          <w:rFonts w:ascii="Rockwell" w:hAnsi="Rockwell" w:cs="Arial"/>
          <w:szCs w:val="24"/>
        </w:rPr>
      </w:pPr>
      <w:r w:rsidRPr="003330D7">
        <w:rPr>
          <w:rFonts w:ascii="Rockwell" w:hAnsi="Rockwell" w:cs="Arial"/>
          <w:szCs w:val="24"/>
        </w:rPr>
        <w:t>That the Executive Director be authorized to contract with Johnson-Laux Construction for additional Annex Renovations detailed as:</w:t>
      </w:r>
    </w:p>
    <w:p w:rsidR="003330D7" w:rsidRDefault="003330D7" w:rsidP="003330D7">
      <w:pPr>
        <w:tabs>
          <w:tab w:val="left" w:pos="7110"/>
          <w:tab w:val="left" w:pos="8640"/>
        </w:tabs>
        <w:rPr>
          <w:rFonts w:ascii="Rockwell" w:hAnsi="Rockwell" w:cs="Arial"/>
          <w:szCs w:val="24"/>
        </w:rPr>
      </w:pPr>
      <w:r>
        <w:rPr>
          <w:rFonts w:ascii="Rockwell" w:hAnsi="Rockwell" w:cs="Arial"/>
          <w:szCs w:val="24"/>
        </w:rPr>
        <w:t>Change Order #6</w:t>
      </w:r>
      <w:r w:rsidRPr="008B34B7">
        <w:rPr>
          <w:rFonts w:ascii="Rockwell" w:hAnsi="Rockwell" w:cs="Arial"/>
          <w:szCs w:val="24"/>
        </w:rPr>
        <w:t>: $</w:t>
      </w:r>
      <w:r w:rsidR="008B34B7" w:rsidRPr="008B34B7">
        <w:rPr>
          <w:rFonts w:ascii="Rockwell" w:hAnsi="Rockwell" w:cs="Arial"/>
          <w:szCs w:val="24"/>
        </w:rPr>
        <w:t>7</w:t>
      </w:r>
      <w:r w:rsidR="008B34B7">
        <w:rPr>
          <w:rFonts w:ascii="Rockwell" w:hAnsi="Rockwell" w:cs="Arial"/>
          <w:szCs w:val="24"/>
        </w:rPr>
        <w:t xml:space="preserve">,668.82 for electrical and drawing revisions. </w:t>
      </w:r>
    </w:p>
    <w:p w:rsidR="008B34B7" w:rsidRPr="004D0BE2" w:rsidRDefault="008B34B7" w:rsidP="003330D7">
      <w:pPr>
        <w:tabs>
          <w:tab w:val="left" w:pos="7110"/>
          <w:tab w:val="left" w:pos="8640"/>
        </w:tabs>
        <w:rPr>
          <w:rFonts w:ascii="Rockwell" w:hAnsi="Rockwell" w:cs="Arial"/>
          <w:szCs w:val="24"/>
        </w:rPr>
      </w:pPr>
    </w:p>
    <w:p w:rsidR="008B34B7" w:rsidRDefault="008B34B7" w:rsidP="008B34B7">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33284C" w:rsidRDefault="0033284C" w:rsidP="00960936">
      <w:pPr>
        <w:tabs>
          <w:tab w:val="left" w:pos="7110"/>
          <w:tab w:val="left" w:pos="8640"/>
        </w:tabs>
        <w:rPr>
          <w:rFonts w:ascii="Rockwell" w:hAnsi="Rockwell" w:cs="Arial"/>
          <w:szCs w:val="24"/>
        </w:rPr>
      </w:pPr>
    </w:p>
    <w:p w:rsidR="00B2034E" w:rsidRDefault="00B2034E" w:rsidP="00960936">
      <w:pPr>
        <w:tabs>
          <w:tab w:val="left" w:pos="7110"/>
          <w:tab w:val="left" w:pos="8640"/>
        </w:tabs>
        <w:rPr>
          <w:rFonts w:ascii="Rockwell" w:hAnsi="Rockwell" w:cs="Arial"/>
          <w:szCs w:val="24"/>
        </w:rPr>
      </w:pPr>
    </w:p>
    <w:p w:rsidR="00B2034E" w:rsidRPr="00B2034E" w:rsidRDefault="00B2034E" w:rsidP="00960936">
      <w:pPr>
        <w:tabs>
          <w:tab w:val="left" w:pos="7110"/>
          <w:tab w:val="left" w:pos="8640"/>
        </w:tabs>
        <w:rPr>
          <w:rFonts w:ascii="Rockwell" w:hAnsi="Rockwell" w:cs="Arial"/>
          <w:szCs w:val="24"/>
        </w:rPr>
      </w:pPr>
      <w:r>
        <w:rPr>
          <w:rFonts w:ascii="Rockwell" w:hAnsi="Rockwell" w:cs="Arial"/>
          <w:b/>
          <w:szCs w:val="24"/>
        </w:rPr>
        <w:t xml:space="preserve">Annex Breakroom Cabinetry </w:t>
      </w:r>
      <w:r w:rsidRPr="00B2034E">
        <w:rPr>
          <w:rFonts w:ascii="Rockwell" w:hAnsi="Rockwell" w:cs="Arial"/>
          <w:szCs w:val="24"/>
        </w:rPr>
        <w:t>Furniture and cabinets in the newly expanded break room in the Annex are not part of the renovation scope. However, after realizing that the old cabinets and appliances would slow down the other project, we decided to accelerate the timeline.</w:t>
      </w:r>
    </w:p>
    <w:p w:rsidR="00BE789D" w:rsidRDefault="00B2034E" w:rsidP="00BE789D">
      <w:pPr>
        <w:tabs>
          <w:tab w:val="left" w:pos="7110"/>
          <w:tab w:val="left" w:pos="8640"/>
        </w:tabs>
        <w:rPr>
          <w:rFonts w:ascii="Rockwell" w:hAnsi="Rockwell" w:cs="Arial"/>
          <w:szCs w:val="24"/>
        </w:rPr>
      </w:pPr>
      <w:r>
        <w:rPr>
          <w:rFonts w:ascii="Rockwell" w:hAnsi="Rockwell" w:cs="Arial"/>
          <w:szCs w:val="24"/>
        </w:rPr>
        <w:tab/>
      </w:r>
      <w:r w:rsidR="00BE789D">
        <w:rPr>
          <w:rFonts w:ascii="Rockwell" w:hAnsi="Rockwell" w:cs="Arial"/>
          <w:szCs w:val="24"/>
        </w:rPr>
        <w:t>Gen. Fin</w:t>
      </w:r>
      <w:r w:rsidR="004D0BE2">
        <w:rPr>
          <w:rFonts w:ascii="Rockwell" w:hAnsi="Rockwell" w:cs="Arial"/>
          <w:szCs w:val="24"/>
        </w:rPr>
        <w:t>. “C</w:t>
      </w:r>
      <w:r w:rsidR="00BE789D">
        <w:rPr>
          <w:rFonts w:ascii="Rockwell" w:hAnsi="Rockwell" w:cs="Arial"/>
          <w:szCs w:val="24"/>
        </w:rPr>
        <w:t>”</w:t>
      </w:r>
    </w:p>
    <w:p w:rsidR="00BE789D" w:rsidRPr="00A76BA5" w:rsidRDefault="00B2034E" w:rsidP="00BE789D">
      <w:pPr>
        <w:tabs>
          <w:tab w:val="left" w:pos="7110"/>
          <w:tab w:val="left" w:pos="8640"/>
        </w:tabs>
        <w:rPr>
          <w:rFonts w:ascii="Rockwell" w:hAnsi="Rockwell" w:cs="Arial"/>
          <w:szCs w:val="24"/>
        </w:rPr>
      </w:pPr>
      <w:r>
        <w:rPr>
          <w:rFonts w:ascii="Rockwell" w:hAnsi="Rockwell" w:cs="Arial"/>
          <w:szCs w:val="24"/>
        </w:rPr>
        <w:tab/>
      </w:r>
      <w:r w:rsidR="00BE789D">
        <w:rPr>
          <w:rFonts w:ascii="Rockwell" w:hAnsi="Rockwell" w:cs="Arial"/>
          <w:szCs w:val="24"/>
        </w:rPr>
        <w:t xml:space="preserve">Resolution </w:t>
      </w:r>
      <w:r w:rsidR="002F22B4">
        <w:rPr>
          <w:rFonts w:ascii="Rockwell" w:hAnsi="Rockwell" w:cs="Arial"/>
          <w:szCs w:val="24"/>
        </w:rPr>
        <w:t>21</w:t>
      </w:r>
      <w:r w:rsidR="00BE789D">
        <w:rPr>
          <w:rFonts w:ascii="Rockwell" w:hAnsi="Rockwell" w:cs="Arial"/>
          <w:szCs w:val="24"/>
        </w:rPr>
        <w:t>-24</w:t>
      </w:r>
    </w:p>
    <w:p w:rsidR="00BE789D" w:rsidRPr="00961218" w:rsidRDefault="00BE789D" w:rsidP="00BE789D">
      <w:pPr>
        <w:tabs>
          <w:tab w:val="left" w:pos="2160"/>
          <w:tab w:val="left" w:pos="7200"/>
          <w:tab w:val="left" w:pos="8640"/>
        </w:tabs>
        <w:rPr>
          <w:rFonts w:ascii="Rockwell" w:hAnsi="Rockwell" w:cs="Arial"/>
          <w:b/>
          <w:bCs/>
          <w:szCs w:val="24"/>
          <w:u w:val="single"/>
        </w:rPr>
      </w:pPr>
      <w:r>
        <w:rPr>
          <w:rFonts w:ascii="Rockwell" w:hAnsi="Rockwell" w:cs="Arial"/>
          <w:b/>
          <w:bCs/>
          <w:szCs w:val="24"/>
          <w:u w:val="single"/>
        </w:rPr>
        <w:t xml:space="preserve">Ratify </w:t>
      </w:r>
      <w:r w:rsidR="00B2034E">
        <w:rPr>
          <w:rFonts w:ascii="Rockwell" w:hAnsi="Rockwell" w:cs="Arial"/>
          <w:b/>
          <w:bCs/>
          <w:szCs w:val="24"/>
          <w:u w:val="single"/>
        </w:rPr>
        <w:t>Cabinetry Purchase</w:t>
      </w:r>
    </w:p>
    <w:p w:rsidR="00BE789D" w:rsidRPr="00C30D78" w:rsidRDefault="00C30D78" w:rsidP="00C30D78">
      <w:pPr>
        <w:tabs>
          <w:tab w:val="left" w:pos="2160"/>
          <w:tab w:val="left" w:pos="7200"/>
          <w:tab w:val="left" w:pos="8640"/>
        </w:tabs>
        <w:rPr>
          <w:rFonts w:ascii="Rockwell" w:hAnsi="Rockwell"/>
          <w:b/>
          <w:bCs/>
          <w:szCs w:val="24"/>
          <w:u w:val="single"/>
        </w:rPr>
      </w:pPr>
      <w:r>
        <w:rPr>
          <w:rFonts w:ascii="Rockwell" w:hAnsi="Rockwell"/>
          <w:szCs w:val="24"/>
        </w:rPr>
        <w:t xml:space="preserve">A.Oyer </w:t>
      </w:r>
      <w:r w:rsidR="00BE789D" w:rsidRPr="00C30D78">
        <w:rPr>
          <w:rFonts w:ascii="Rockwell" w:hAnsi="Rockwell"/>
          <w:szCs w:val="24"/>
        </w:rPr>
        <w:t xml:space="preserve">moved and </w:t>
      </w:r>
      <w:r>
        <w:rPr>
          <w:rFonts w:ascii="Rockwell" w:hAnsi="Rockwell"/>
          <w:sz w:val="22"/>
          <w:szCs w:val="22"/>
        </w:rPr>
        <w:t>L. Graves</w:t>
      </w:r>
      <w:r w:rsidR="00BE789D" w:rsidRPr="00C30D78">
        <w:rPr>
          <w:rFonts w:ascii="Rockwell" w:hAnsi="Rockwell"/>
          <w:szCs w:val="24"/>
        </w:rPr>
        <w:t xml:space="preserve"> seconded the adoption of the following resolution.</w:t>
      </w:r>
    </w:p>
    <w:p w:rsidR="00BE789D" w:rsidRDefault="00BE789D" w:rsidP="00BE789D">
      <w:pPr>
        <w:tabs>
          <w:tab w:val="left" w:pos="7110"/>
          <w:tab w:val="left" w:pos="8640"/>
        </w:tabs>
        <w:rPr>
          <w:rFonts w:ascii="Rockwell" w:hAnsi="Rockwell" w:cs="Arial"/>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sidR="00B2034E">
        <w:rPr>
          <w:rFonts w:ascii="Rockwell" w:hAnsi="Rockwell" w:cs="Arial"/>
          <w:szCs w:val="24"/>
          <w:lang w:eastAsia="x-none"/>
        </w:rPr>
        <w:t>the Executive Director be authorized to contract with Specialty Services Cabinetry to purchase and install Annex breakroom cabinetry in the amount of $8,270.</w:t>
      </w:r>
      <w:r>
        <w:rPr>
          <w:rFonts w:ascii="Rockwell" w:hAnsi="Rockwell" w:cs="Arial"/>
          <w:szCs w:val="24"/>
          <w:lang w:eastAsia="x-none"/>
        </w:rPr>
        <w:t xml:space="preserve">  </w:t>
      </w:r>
      <w:r>
        <w:rPr>
          <w:rFonts w:ascii="Rockwell" w:hAnsi="Rockwell" w:cs="Arial"/>
          <w:szCs w:val="24"/>
        </w:rPr>
        <w:tab/>
        <w:t xml:space="preserve">                               </w:t>
      </w:r>
    </w:p>
    <w:p w:rsidR="00BE789D" w:rsidRPr="008C50DA" w:rsidRDefault="00BE789D" w:rsidP="00BE789D">
      <w:pPr>
        <w:tabs>
          <w:tab w:val="left" w:pos="2160"/>
          <w:tab w:val="left" w:pos="7200"/>
          <w:tab w:val="left" w:pos="8640"/>
        </w:tabs>
        <w:rPr>
          <w:rFonts w:ascii="Rockwell" w:hAnsi="Rockwell" w:cs="Arial"/>
          <w:bCs/>
          <w:szCs w:val="24"/>
        </w:rPr>
      </w:pPr>
    </w:p>
    <w:p w:rsidR="00BE789D" w:rsidRDefault="00BE789D" w:rsidP="00BE789D">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B2034E" w:rsidRDefault="00B2034E" w:rsidP="00BE789D">
      <w:pPr>
        <w:tabs>
          <w:tab w:val="left" w:pos="7110"/>
          <w:tab w:val="left" w:pos="8640"/>
        </w:tabs>
        <w:rPr>
          <w:rFonts w:ascii="Rockwell" w:hAnsi="Rockwell" w:cs="Arial"/>
          <w:szCs w:val="24"/>
        </w:rPr>
      </w:pPr>
    </w:p>
    <w:p w:rsidR="000B44C7" w:rsidRDefault="000B44C7" w:rsidP="00BE789D">
      <w:pPr>
        <w:tabs>
          <w:tab w:val="left" w:pos="7110"/>
          <w:tab w:val="left" w:pos="8640"/>
        </w:tabs>
        <w:rPr>
          <w:rFonts w:ascii="Rockwell" w:hAnsi="Rockwell" w:cs="Arial"/>
          <w:szCs w:val="24"/>
        </w:rPr>
      </w:pPr>
    </w:p>
    <w:p w:rsidR="00B2034E" w:rsidRDefault="00B2034E" w:rsidP="00B2034E">
      <w:pPr>
        <w:tabs>
          <w:tab w:val="left" w:pos="7110"/>
          <w:tab w:val="left" w:pos="8640"/>
        </w:tabs>
        <w:rPr>
          <w:rFonts w:ascii="Rockwell" w:hAnsi="Rockwell" w:cs="Arial"/>
          <w:szCs w:val="24"/>
        </w:rPr>
      </w:pPr>
      <w:r>
        <w:rPr>
          <w:rFonts w:ascii="Rockwell" w:hAnsi="Rockwell" w:cs="Arial"/>
          <w:b/>
          <w:szCs w:val="24"/>
        </w:rPr>
        <w:t>Annual Mowing &amp; Landscape Maintenance</w:t>
      </w:r>
      <w:r>
        <w:rPr>
          <w:rFonts w:ascii="Rockwell" w:hAnsi="Rockwell" w:cs="Arial"/>
          <w:szCs w:val="24"/>
        </w:rPr>
        <w:t xml:space="preserve"> </w:t>
      </w:r>
      <w:r w:rsidRPr="00B2034E">
        <w:rPr>
          <w:rFonts w:ascii="Rockwell" w:hAnsi="Rockwell" w:cs="Arial"/>
          <w:szCs w:val="24"/>
        </w:rPr>
        <w:t xml:space="preserve">The RFQ was posted on the library’s website for several weeks and letters of inquiry and phone calls were made to various landscape companies. M&amp;M, our current provider, was the only company that submitted </w:t>
      </w:r>
      <w:r w:rsidR="00892680">
        <w:rPr>
          <w:rFonts w:ascii="Rockwell" w:hAnsi="Rockwell" w:cs="Arial"/>
          <w:szCs w:val="24"/>
        </w:rPr>
        <w:t>a quote.</w:t>
      </w:r>
      <w:r>
        <w:rPr>
          <w:rFonts w:ascii="Rockwell" w:hAnsi="Rockwell" w:cs="Arial"/>
          <w:szCs w:val="24"/>
        </w:rPr>
        <w:tab/>
      </w:r>
    </w:p>
    <w:p w:rsidR="00B2034E" w:rsidRDefault="00B2034E" w:rsidP="00B2034E">
      <w:pPr>
        <w:tabs>
          <w:tab w:val="left" w:pos="7110"/>
          <w:tab w:val="left" w:pos="8640"/>
        </w:tabs>
        <w:rPr>
          <w:rFonts w:ascii="Rockwell" w:hAnsi="Rockwell" w:cs="Arial"/>
          <w:szCs w:val="24"/>
        </w:rPr>
      </w:pPr>
      <w:r>
        <w:rPr>
          <w:rFonts w:ascii="Rockwell" w:hAnsi="Rockwell" w:cs="Arial"/>
          <w:szCs w:val="24"/>
        </w:rPr>
        <w:tab/>
        <w:t>Gen. Fin. “B”</w:t>
      </w:r>
    </w:p>
    <w:p w:rsidR="000B3A3C" w:rsidRPr="000B3A3C" w:rsidRDefault="00B2034E" w:rsidP="00B2034E">
      <w:pPr>
        <w:tabs>
          <w:tab w:val="left" w:pos="7110"/>
          <w:tab w:val="left" w:pos="8640"/>
        </w:tabs>
        <w:rPr>
          <w:rFonts w:ascii="Rockwell" w:hAnsi="Rockwell" w:cs="Arial"/>
          <w:szCs w:val="24"/>
        </w:rPr>
      </w:pPr>
      <w:r>
        <w:rPr>
          <w:rFonts w:ascii="Rockwell" w:hAnsi="Rockwell" w:cs="Arial"/>
          <w:szCs w:val="24"/>
        </w:rPr>
        <w:tab/>
        <w:t xml:space="preserve">Resolution </w:t>
      </w:r>
      <w:r w:rsidR="002F22B4">
        <w:rPr>
          <w:rFonts w:ascii="Rockwell" w:hAnsi="Rockwell" w:cs="Arial"/>
          <w:szCs w:val="24"/>
        </w:rPr>
        <w:t>22</w:t>
      </w:r>
      <w:r>
        <w:rPr>
          <w:rFonts w:ascii="Rockwell" w:hAnsi="Rockwell" w:cs="Arial"/>
          <w:szCs w:val="24"/>
        </w:rPr>
        <w:t>-24</w:t>
      </w:r>
      <w:r w:rsidR="000B3A3C">
        <w:rPr>
          <w:rFonts w:ascii="Rockwell" w:hAnsi="Rockwell" w:cs="Arial"/>
          <w:szCs w:val="24"/>
        </w:rPr>
        <w:t xml:space="preserve">   </w:t>
      </w:r>
      <w:r w:rsidR="000B3A3C">
        <w:rPr>
          <w:rFonts w:ascii="Rockwell" w:hAnsi="Rockwell" w:cs="Arial"/>
          <w:b/>
          <w:szCs w:val="24"/>
          <w:u w:val="single"/>
        </w:rPr>
        <w:t>2024 Mowing &amp; Landscaping Contract</w:t>
      </w:r>
    </w:p>
    <w:p w:rsidR="00B2034E" w:rsidRPr="007B626C" w:rsidRDefault="00C30D78" w:rsidP="00B2034E">
      <w:pPr>
        <w:tabs>
          <w:tab w:val="left" w:pos="2160"/>
          <w:tab w:val="left" w:pos="7200"/>
          <w:tab w:val="left" w:pos="8640"/>
        </w:tabs>
        <w:rPr>
          <w:rFonts w:ascii="Rockwell" w:hAnsi="Rockwell" w:cs="Arial"/>
          <w:b/>
          <w:bCs/>
          <w:szCs w:val="24"/>
          <w:u w:val="single"/>
        </w:rPr>
      </w:pPr>
      <w:r>
        <w:rPr>
          <w:rFonts w:ascii="Rockwell" w:hAnsi="Rockwell" w:cs="Arial"/>
          <w:bCs/>
          <w:szCs w:val="24"/>
        </w:rPr>
        <w:t>L. Graves</w:t>
      </w:r>
      <w:r w:rsidR="00B2034E">
        <w:rPr>
          <w:rFonts w:ascii="Rockwell" w:hAnsi="Rockwell" w:cs="Arial"/>
          <w:bCs/>
          <w:szCs w:val="24"/>
        </w:rPr>
        <w:t xml:space="preserve"> </w:t>
      </w:r>
      <w:r w:rsidR="00B2034E" w:rsidRPr="008C50DA">
        <w:rPr>
          <w:rFonts w:ascii="Rockwell" w:hAnsi="Rockwell" w:cs="Arial"/>
          <w:szCs w:val="24"/>
        </w:rPr>
        <w:t>m</w:t>
      </w:r>
      <w:r w:rsidR="00B2034E">
        <w:rPr>
          <w:rFonts w:ascii="Rockwell" w:hAnsi="Rockwell" w:cs="Arial"/>
          <w:szCs w:val="24"/>
        </w:rPr>
        <w:t xml:space="preserve">oved and </w:t>
      </w:r>
      <w:r>
        <w:rPr>
          <w:rFonts w:ascii="Rockwell" w:hAnsi="Rockwell" w:cs="Arial"/>
          <w:sz w:val="22"/>
          <w:szCs w:val="22"/>
        </w:rPr>
        <w:t>A. Oyer</w:t>
      </w:r>
      <w:r w:rsidR="00B2034E">
        <w:rPr>
          <w:rFonts w:ascii="Rockwell" w:hAnsi="Rockwell" w:cs="Arial"/>
          <w:szCs w:val="24"/>
        </w:rPr>
        <w:t xml:space="preserve"> </w:t>
      </w:r>
      <w:r w:rsidR="00B2034E" w:rsidRPr="008C50DA">
        <w:rPr>
          <w:rFonts w:ascii="Rockwell" w:hAnsi="Rockwell" w:cs="Arial"/>
          <w:szCs w:val="24"/>
        </w:rPr>
        <w:t>seconded the adoption of the following resolution.</w:t>
      </w:r>
    </w:p>
    <w:p w:rsidR="00B2034E" w:rsidRDefault="00B2034E" w:rsidP="00B2034E">
      <w:pPr>
        <w:tabs>
          <w:tab w:val="left" w:pos="7110"/>
          <w:tab w:val="left" w:pos="8640"/>
        </w:tabs>
        <w:rPr>
          <w:rFonts w:ascii="Rockwell" w:hAnsi="Rockwell" w:cs="Arial"/>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Pr>
          <w:rFonts w:ascii="Rockwell" w:hAnsi="Rockwell" w:cs="Arial"/>
          <w:szCs w:val="24"/>
          <w:lang w:eastAsia="x-none"/>
        </w:rPr>
        <w:t xml:space="preserve">the library contract with M&amp;M Fabrication </w:t>
      </w:r>
      <w:r w:rsidR="000B3A3C">
        <w:rPr>
          <w:rFonts w:ascii="Rockwell" w:hAnsi="Rockwell" w:cs="Arial"/>
          <w:szCs w:val="24"/>
          <w:lang w:eastAsia="x-none"/>
        </w:rPr>
        <w:t xml:space="preserve">at the </w:t>
      </w:r>
      <w:r w:rsidR="0060420C">
        <w:rPr>
          <w:rFonts w:ascii="Rockwell" w:hAnsi="Rockwell" w:cs="Arial"/>
          <w:szCs w:val="24"/>
          <w:lang w:eastAsia="x-none"/>
        </w:rPr>
        <w:t xml:space="preserve">per-visit </w:t>
      </w:r>
      <w:r w:rsidR="000B3A3C">
        <w:rPr>
          <w:rFonts w:ascii="Rockwell" w:hAnsi="Rockwell" w:cs="Arial"/>
          <w:szCs w:val="24"/>
          <w:lang w:eastAsia="x-none"/>
        </w:rPr>
        <w:t xml:space="preserve">rates provided for mowing and landscape maintenance at Frankfort, Kingston, Richmond Dale, Northside, and Main/Annex for the 2024 season. </w:t>
      </w:r>
      <w:r>
        <w:rPr>
          <w:rFonts w:ascii="Rockwell" w:hAnsi="Rockwell" w:cs="Arial"/>
          <w:szCs w:val="24"/>
          <w:lang w:eastAsia="x-none"/>
        </w:rPr>
        <w:t xml:space="preserve">  </w:t>
      </w:r>
      <w:r>
        <w:rPr>
          <w:rFonts w:ascii="Rockwell" w:hAnsi="Rockwell" w:cs="Arial"/>
          <w:szCs w:val="24"/>
        </w:rPr>
        <w:tab/>
        <w:t xml:space="preserve">                               </w:t>
      </w:r>
    </w:p>
    <w:p w:rsidR="00B2034E" w:rsidRPr="008C50DA" w:rsidRDefault="00B2034E" w:rsidP="00B2034E">
      <w:pPr>
        <w:tabs>
          <w:tab w:val="left" w:pos="2160"/>
          <w:tab w:val="left" w:pos="7200"/>
          <w:tab w:val="left" w:pos="8640"/>
        </w:tabs>
        <w:rPr>
          <w:rFonts w:ascii="Rockwell" w:hAnsi="Rockwell" w:cs="Arial"/>
          <w:bCs/>
          <w:szCs w:val="24"/>
        </w:rPr>
      </w:pPr>
    </w:p>
    <w:p w:rsidR="00B2034E" w:rsidRDefault="00B2034E" w:rsidP="00B2034E">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0B44C7" w:rsidRDefault="000B44C7" w:rsidP="00B2034E">
      <w:pPr>
        <w:tabs>
          <w:tab w:val="left" w:pos="7110"/>
          <w:tab w:val="left" w:pos="8640"/>
        </w:tabs>
        <w:rPr>
          <w:rFonts w:ascii="Rockwell" w:hAnsi="Rockwell" w:cs="Arial"/>
          <w:szCs w:val="24"/>
        </w:rPr>
      </w:pPr>
    </w:p>
    <w:p w:rsidR="000B44C7" w:rsidRDefault="000B44C7" w:rsidP="00B2034E">
      <w:pPr>
        <w:tabs>
          <w:tab w:val="left" w:pos="7110"/>
          <w:tab w:val="left" w:pos="8640"/>
        </w:tabs>
        <w:rPr>
          <w:rFonts w:ascii="Rockwell" w:hAnsi="Rockwell" w:cs="Arial"/>
          <w:szCs w:val="24"/>
        </w:rPr>
      </w:pPr>
    </w:p>
    <w:p w:rsidR="00BE789D" w:rsidRDefault="000B44C7" w:rsidP="00B2034E">
      <w:pPr>
        <w:tabs>
          <w:tab w:val="left" w:pos="7110"/>
          <w:tab w:val="left" w:pos="8640"/>
        </w:tabs>
        <w:rPr>
          <w:rFonts w:ascii="Rockwell" w:hAnsi="Rockwell" w:cs="Arial"/>
          <w:szCs w:val="24"/>
        </w:rPr>
      </w:pPr>
      <w:r>
        <w:rPr>
          <w:rFonts w:ascii="Rockwell" w:hAnsi="Rockwell"/>
          <w:b/>
        </w:rPr>
        <w:t>Board Room Furniture</w:t>
      </w:r>
      <w:r>
        <w:rPr>
          <w:rFonts w:ascii="Rockwell" w:hAnsi="Rockwell"/>
        </w:rPr>
        <w:t xml:space="preserve"> After reviewing a variety of online catalogs for conference tables, I’ve selected a conference room bundle with a matching side table from Branch out of New York </w:t>
      </w:r>
      <w:r w:rsidR="008B34B7">
        <w:rPr>
          <w:rFonts w:ascii="Rockwell" w:hAnsi="Rockwell"/>
        </w:rPr>
        <w:t>State</w:t>
      </w:r>
      <w:r>
        <w:rPr>
          <w:rFonts w:ascii="Rockwell" w:hAnsi="Rockwell"/>
        </w:rPr>
        <w:t>. The conference table is long enough to hold up to 12 chairs and will comfortably fit in the new board room space</w:t>
      </w:r>
      <w:r>
        <w:rPr>
          <w:rFonts w:ascii="Rockwell" w:hAnsi="Rockwell" w:cs="Arial"/>
          <w:szCs w:val="24"/>
        </w:rPr>
        <w:t>.</w:t>
      </w:r>
    </w:p>
    <w:p w:rsidR="000B44C7" w:rsidRDefault="000B44C7" w:rsidP="000B44C7">
      <w:pPr>
        <w:tabs>
          <w:tab w:val="left" w:pos="7110"/>
          <w:tab w:val="left" w:pos="8640"/>
        </w:tabs>
        <w:rPr>
          <w:rFonts w:ascii="Rockwell" w:hAnsi="Rockwell" w:cs="Arial"/>
          <w:szCs w:val="24"/>
        </w:rPr>
      </w:pPr>
      <w:r>
        <w:rPr>
          <w:rFonts w:ascii="Rockwell" w:hAnsi="Rockwell" w:cs="Arial"/>
          <w:szCs w:val="24"/>
        </w:rPr>
        <w:tab/>
        <w:t>Gen. Fin. “C”</w:t>
      </w:r>
    </w:p>
    <w:p w:rsidR="000B44C7" w:rsidRPr="000B3A3C" w:rsidRDefault="000B44C7" w:rsidP="000B44C7">
      <w:pPr>
        <w:tabs>
          <w:tab w:val="left" w:pos="7110"/>
          <w:tab w:val="left" w:pos="8640"/>
        </w:tabs>
        <w:rPr>
          <w:rFonts w:ascii="Rockwell" w:hAnsi="Rockwell" w:cs="Arial"/>
          <w:szCs w:val="24"/>
        </w:rPr>
      </w:pPr>
      <w:r>
        <w:rPr>
          <w:rFonts w:ascii="Rockwell" w:hAnsi="Rockwell" w:cs="Arial"/>
          <w:szCs w:val="24"/>
        </w:rPr>
        <w:tab/>
        <w:t xml:space="preserve">Resolution </w:t>
      </w:r>
      <w:r w:rsidR="002F22B4">
        <w:rPr>
          <w:rFonts w:ascii="Rockwell" w:hAnsi="Rockwell" w:cs="Arial"/>
          <w:szCs w:val="24"/>
        </w:rPr>
        <w:t>23</w:t>
      </w:r>
      <w:r>
        <w:rPr>
          <w:rFonts w:ascii="Rockwell" w:hAnsi="Rockwell" w:cs="Arial"/>
          <w:szCs w:val="24"/>
        </w:rPr>
        <w:t xml:space="preserve">-24   </w:t>
      </w:r>
      <w:r>
        <w:rPr>
          <w:rFonts w:ascii="Rockwell" w:hAnsi="Rockwell" w:cs="Arial"/>
          <w:b/>
          <w:szCs w:val="24"/>
          <w:u w:val="single"/>
        </w:rPr>
        <w:t>Approve Purchase of Board Room Furniture from Branch</w:t>
      </w:r>
    </w:p>
    <w:p w:rsidR="000B44C7" w:rsidRPr="007B626C" w:rsidRDefault="00C30D78" w:rsidP="000B44C7">
      <w:pPr>
        <w:tabs>
          <w:tab w:val="left" w:pos="2160"/>
          <w:tab w:val="left" w:pos="7200"/>
          <w:tab w:val="left" w:pos="8640"/>
        </w:tabs>
        <w:rPr>
          <w:rFonts w:ascii="Rockwell" w:hAnsi="Rockwell" w:cs="Arial"/>
          <w:b/>
          <w:bCs/>
          <w:szCs w:val="24"/>
          <w:u w:val="single"/>
        </w:rPr>
      </w:pPr>
      <w:r>
        <w:rPr>
          <w:rFonts w:ascii="Rockwell" w:hAnsi="Rockwell" w:cs="Arial"/>
          <w:bCs/>
          <w:szCs w:val="24"/>
        </w:rPr>
        <w:t>L. Graves</w:t>
      </w:r>
      <w:r w:rsidR="000B44C7">
        <w:rPr>
          <w:rFonts w:ascii="Rockwell" w:hAnsi="Rockwell" w:cs="Arial"/>
          <w:bCs/>
          <w:szCs w:val="24"/>
        </w:rPr>
        <w:t xml:space="preserve"> </w:t>
      </w:r>
      <w:r w:rsidR="000B44C7" w:rsidRPr="008C50DA">
        <w:rPr>
          <w:rFonts w:ascii="Rockwell" w:hAnsi="Rockwell" w:cs="Arial"/>
          <w:szCs w:val="24"/>
        </w:rPr>
        <w:t>m</w:t>
      </w:r>
      <w:r w:rsidR="000B44C7">
        <w:rPr>
          <w:rFonts w:ascii="Rockwell" w:hAnsi="Rockwell" w:cs="Arial"/>
          <w:szCs w:val="24"/>
        </w:rPr>
        <w:t xml:space="preserve">oved and </w:t>
      </w:r>
      <w:r>
        <w:rPr>
          <w:rFonts w:ascii="Rockwell" w:hAnsi="Rockwell" w:cs="Arial"/>
          <w:sz w:val="22"/>
          <w:szCs w:val="22"/>
        </w:rPr>
        <w:t xml:space="preserve">A. Oyer </w:t>
      </w:r>
      <w:r w:rsidR="000B44C7" w:rsidRPr="008C50DA">
        <w:rPr>
          <w:rFonts w:ascii="Rockwell" w:hAnsi="Rockwell" w:cs="Arial"/>
          <w:szCs w:val="24"/>
        </w:rPr>
        <w:t>seconded the adoption of the following resolution.</w:t>
      </w:r>
    </w:p>
    <w:p w:rsidR="000B44C7" w:rsidRDefault="000B44C7" w:rsidP="000B44C7">
      <w:pPr>
        <w:tabs>
          <w:tab w:val="left" w:pos="7110"/>
          <w:tab w:val="left" w:pos="8640"/>
        </w:tabs>
        <w:rPr>
          <w:rFonts w:ascii="Rockwell" w:hAnsi="Rockwell" w:cs="Arial"/>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Pr>
          <w:rFonts w:ascii="Rockwell" w:hAnsi="Rockwell" w:cs="Arial"/>
          <w:szCs w:val="24"/>
          <w:lang w:eastAsia="x-none"/>
        </w:rPr>
        <w:t xml:space="preserve">the Executive Director be authorized to purchase board room furniture from Branch in the </w:t>
      </w:r>
      <w:r w:rsidRPr="002D539F">
        <w:rPr>
          <w:rFonts w:ascii="Rockwell" w:hAnsi="Rockwell" w:cs="Arial"/>
          <w:szCs w:val="24"/>
          <w:lang w:eastAsia="x-none"/>
        </w:rPr>
        <w:t>amount of $</w:t>
      </w:r>
      <w:r w:rsidR="002D539F" w:rsidRPr="002D539F">
        <w:rPr>
          <w:rFonts w:ascii="Rockwell" w:hAnsi="Rockwell" w:cs="Arial"/>
          <w:szCs w:val="24"/>
          <w:lang w:eastAsia="x-none"/>
        </w:rPr>
        <w:t>6,556.00</w:t>
      </w:r>
      <w:r w:rsidRPr="002D539F">
        <w:rPr>
          <w:rFonts w:ascii="Rockwell" w:hAnsi="Rockwell" w:cs="Arial"/>
          <w:szCs w:val="24"/>
          <w:lang w:eastAsia="x-none"/>
        </w:rPr>
        <w:t>.</w:t>
      </w:r>
      <w:r>
        <w:rPr>
          <w:rFonts w:ascii="Rockwell" w:hAnsi="Rockwell" w:cs="Arial"/>
          <w:szCs w:val="24"/>
          <w:lang w:eastAsia="x-none"/>
        </w:rPr>
        <w:t xml:space="preserve">   </w:t>
      </w:r>
      <w:r>
        <w:rPr>
          <w:rFonts w:ascii="Rockwell" w:hAnsi="Rockwell" w:cs="Arial"/>
          <w:szCs w:val="24"/>
        </w:rPr>
        <w:tab/>
        <w:t xml:space="preserve">                               </w:t>
      </w:r>
    </w:p>
    <w:p w:rsidR="000B44C7" w:rsidRPr="008C50DA" w:rsidRDefault="000B44C7" w:rsidP="000B44C7">
      <w:pPr>
        <w:tabs>
          <w:tab w:val="left" w:pos="2160"/>
          <w:tab w:val="left" w:pos="7200"/>
          <w:tab w:val="left" w:pos="8640"/>
        </w:tabs>
        <w:rPr>
          <w:rFonts w:ascii="Rockwell" w:hAnsi="Rockwell" w:cs="Arial"/>
          <w:bCs/>
          <w:szCs w:val="24"/>
        </w:rPr>
      </w:pPr>
    </w:p>
    <w:p w:rsidR="000B44C7" w:rsidRDefault="000B44C7" w:rsidP="000B44C7">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30D78" w:rsidRPr="001D05EB" w:rsidRDefault="00C30D78" w:rsidP="00C30D7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0B44C7" w:rsidRDefault="000B44C7" w:rsidP="00B2034E">
      <w:pPr>
        <w:tabs>
          <w:tab w:val="left" w:pos="7110"/>
          <w:tab w:val="left" w:pos="8640"/>
        </w:tabs>
        <w:rPr>
          <w:rFonts w:ascii="Rockwell" w:hAnsi="Rockwell" w:cs="Arial"/>
          <w:szCs w:val="24"/>
        </w:rPr>
      </w:pPr>
    </w:p>
    <w:p w:rsidR="00AA581C" w:rsidRDefault="00AA581C" w:rsidP="00B2034E">
      <w:pPr>
        <w:tabs>
          <w:tab w:val="left" w:pos="7110"/>
          <w:tab w:val="left" w:pos="8640"/>
        </w:tabs>
        <w:rPr>
          <w:rFonts w:ascii="Rockwell" w:hAnsi="Rockwell" w:cs="Arial"/>
          <w:szCs w:val="24"/>
        </w:rPr>
      </w:pPr>
    </w:p>
    <w:p w:rsidR="00AA581C" w:rsidRDefault="006976F4" w:rsidP="00AA581C">
      <w:pPr>
        <w:tabs>
          <w:tab w:val="left" w:pos="7110"/>
          <w:tab w:val="left" w:pos="8640"/>
        </w:tabs>
        <w:rPr>
          <w:rFonts w:ascii="Rockwell" w:hAnsi="Rockwell" w:cs="Arial"/>
          <w:szCs w:val="24"/>
        </w:rPr>
      </w:pPr>
      <w:r>
        <w:rPr>
          <w:rFonts w:ascii="Rockwell" w:hAnsi="Rockwell"/>
          <w:b/>
        </w:rPr>
        <w:t xml:space="preserve">New </w:t>
      </w:r>
      <w:r w:rsidR="00AA581C">
        <w:rPr>
          <w:rFonts w:ascii="Rockwell" w:hAnsi="Rockwell"/>
          <w:b/>
        </w:rPr>
        <w:t>Local Author and Local History &amp; Genealogy Policies</w:t>
      </w:r>
      <w:r w:rsidR="00AA581C">
        <w:rPr>
          <w:rFonts w:ascii="Rockwell" w:hAnsi="Rockwell"/>
        </w:rPr>
        <w:t xml:space="preserve"> With the proliferation of self-publishing everyone is an author. In general, that’s a good thing and we’re quick to place books on the shelves of our friends and neighbors. However, in this current environment, I think it’s prudent to have some guidelines in place for how those purchases and donations are made. We added the Genealogy Collection policy because we also get a lot of self-compiled family histories that don’t always match our criteria. Again, it’s a specific collection that doesn’t normally cause issues, but I want to make sure we have a policy in place just in case</w:t>
      </w:r>
      <w:r w:rsidR="00AA581C">
        <w:rPr>
          <w:rFonts w:ascii="Rockwell" w:hAnsi="Rockwell" w:cs="Arial"/>
          <w:szCs w:val="24"/>
        </w:rPr>
        <w:t>.</w:t>
      </w:r>
    </w:p>
    <w:p w:rsidR="00AA581C" w:rsidRDefault="00AA581C" w:rsidP="00AA581C">
      <w:pPr>
        <w:tabs>
          <w:tab w:val="left" w:pos="7110"/>
          <w:tab w:val="left" w:pos="8640"/>
        </w:tabs>
        <w:rPr>
          <w:rFonts w:ascii="Rockwell" w:hAnsi="Rockwell" w:cs="Arial"/>
          <w:szCs w:val="24"/>
        </w:rPr>
      </w:pPr>
      <w:r>
        <w:rPr>
          <w:rFonts w:ascii="Rockwell" w:hAnsi="Rockwell" w:cs="Arial"/>
          <w:szCs w:val="24"/>
        </w:rPr>
        <w:tab/>
        <w:t>Pols. “B”</w:t>
      </w:r>
    </w:p>
    <w:p w:rsidR="00C30D78" w:rsidRDefault="00AA581C" w:rsidP="00C30D78">
      <w:pPr>
        <w:tabs>
          <w:tab w:val="left" w:pos="7110"/>
          <w:tab w:val="left" w:pos="8640"/>
        </w:tabs>
        <w:rPr>
          <w:rFonts w:ascii="Rockwell" w:hAnsi="Rockwell" w:cs="Arial"/>
          <w:szCs w:val="24"/>
        </w:rPr>
      </w:pPr>
      <w:r>
        <w:rPr>
          <w:rFonts w:ascii="Rockwell" w:hAnsi="Rockwell" w:cs="Arial"/>
          <w:szCs w:val="24"/>
        </w:rPr>
        <w:tab/>
        <w:t xml:space="preserve">Resolution </w:t>
      </w:r>
      <w:r w:rsidR="002F22B4">
        <w:rPr>
          <w:rFonts w:ascii="Rockwell" w:hAnsi="Rockwell" w:cs="Arial"/>
          <w:szCs w:val="24"/>
        </w:rPr>
        <w:t>24</w:t>
      </w:r>
      <w:r>
        <w:rPr>
          <w:rFonts w:ascii="Rockwell" w:hAnsi="Rockwell" w:cs="Arial"/>
          <w:szCs w:val="24"/>
        </w:rPr>
        <w:t xml:space="preserve">-24   </w:t>
      </w:r>
      <w:r>
        <w:rPr>
          <w:rFonts w:ascii="Rockwell" w:hAnsi="Rockwell" w:cs="Arial"/>
          <w:b/>
          <w:szCs w:val="24"/>
          <w:u w:val="single"/>
        </w:rPr>
        <w:t>Approve Materials Selection Policies</w:t>
      </w:r>
    </w:p>
    <w:p w:rsidR="00AA581C" w:rsidRPr="00C30D78" w:rsidRDefault="00C55926" w:rsidP="00C30D78">
      <w:pPr>
        <w:tabs>
          <w:tab w:val="left" w:pos="7110"/>
          <w:tab w:val="left" w:pos="8640"/>
        </w:tabs>
        <w:rPr>
          <w:rFonts w:ascii="Rockwell" w:hAnsi="Rockwell" w:cs="Arial"/>
          <w:szCs w:val="24"/>
        </w:rPr>
      </w:pPr>
      <w:r>
        <w:rPr>
          <w:rFonts w:ascii="Rockwell" w:hAnsi="Rockwell" w:cs="Arial"/>
          <w:szCs w:val="24"/>
        </w:rPr>
        <w:t>A.Oyer</w:t>
      </w:r>
      <w:r w:rsidR="00AA581C">
        <w:rPr>
          <w:rFonts w:ascii="Rockwell" w:hAnsi="Rockwell" w:cs="Arial"/>
          <w:bCs/>
          <w:szCs w:val="24"/>
        </w:rPr>
        <w:t xml:space="preserve"> </w:t>
      </w:r>
      <w:r w:rsidR="00AA581C" w:rsidRPr="008C50DA">
        <w:rPr>
          <w:rFonts w:ascii="Rockwell" w:hAnsi="Rockwell" w:cs="Arial"/>
          <w:szCs w:val="24"/>
        </w:rPr>
        <w:t>m</w:t>
      </w:r>
      <w:r>
        <w:rPr>
          <w:rFonts w:ascii="Rockwell" w:hAnsi="Rockwell" w:cs="Arial"/>
          <w:szCs w:val="24"/>
        </w:rPr>
        <w:t>oved and L. Graves</w:t>
      </w:r>
      <w:r w:rsidR="00AA581C">
        <w:rPr>
          <w:rFonts w:ascii="Rockwell" w:hAnsi="Rockwell" w:cs="Arial"/>
          <w:szCs w:val="24"/>
        </w:rPr>
        <w:t xml:space="preserve"> </w:t>
      </w:r>
      <w:r w:rsidR="00AA581C" w:rsidRPr="008C50DA">
        <w:rPr>
          <w:rFonts w:ascii="Rockwell" w:hAnsi="Rockwell" w:cs="Arial"/>
          <w:szCs w:val="24"/>
        </w:rPr>
        <w:t>seconded the adoption of the following resolution.</w:t>
      </w:r>
    </w:p>
    <w:p w:rsidR="00AA581C" w:rsidRDefault="00AA581C" w:rsidP="00AA581C">
      <w:pPr>
        <w:tabs>
          <w:tab w:val="left" w:pos="7110"/>
          <w:tab w:val="left" w:pos="8640"/>
        </w:tabs>
        <w:rPr>
          <w:rFonts w:ascii="Rockwell" w:hAnsi="Rockwell" w:cs="Arial"/>
          <w:szCs w:val="24"/>
        </w:rPr>
      </w:pPr>
      <w:r w:rsidRPr="008C50DA">
        <w:rPr>
          <w:rFonts w:ascii="Rockwell" w:hAnsi="Rockwell" w:cs="Arial"/>
          <w:szCs w:val="24"/>
          <w:u w:val="single"/>
          <w:lang w:eastAsia="x-none"/>
        </w:rPr>
        <w:lastRenderedPageBreak/>
        <w:t>That</w:t>
      </w:r>
      <w:r>
        <w:rPr>
          <w:rFonts w:ascii="Rockwell" w:hAnsi="Rockwell" w:cs="Arial"/>
          <w:szCs w:val="24"/>
          <w:lang w:eastAsia="x-none"/>
        </w:rPr>
        <w:t xml:space="preserve"> new Materials Selection Policies “Local Authors” and “Local History &amp; Genealogy” be adopted as presented.  </w:t>
      </w:r>
      <w:r>
        <w:rPr>
          <w:rFonts w:ascii="Rockwell" w:hAnsi="Rockwell" w:cs="Arial"/>
          <w:szCs w:val="24"/>
        </w:rPr>
        <w:tab/>
        <w:t xml:space="preserve">                               </w:t>
      </w:r>
    </w:p>
    <w:p w:rsidR="00AA581C" w:rsidRPr="008C50DA" w:rsidRDefault="00AA581C" w:rsidP="00AA581C">
      <w:pPr>
        <w:tabs>
          <w:tab w:val="left" w:pos="2160"/>
          <w:tab w:val="left" w:pos="7200"/>
          <w:tab w:val="left" w:pos="8640"/>
        </w:tabs>
        <w:rPr>
          <w:rFonts w:ascii="Rockwell" w:hAnsi="Rockwell" w:cs="Arial"/>
          <w:bCs/>
          <w:szCs w:val="24"/>
        </w:rPr>
      </w:pPr>
    </w:p>
    <w:p w:rsidR="00AA581C" w:rsidRDefault="00AA581C" w:rsidP="00AA581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55926" w:rsidRPr="001D05EB" w:rsidRDefault="00C55926" w:rsidP="00C55926">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AA581C" w:rsidRPr="00AA581C" w:rsidRDefault="00AA581C" w:rsidP="0033284C">
      <w:pPr>
        <w:tabs>
          <w:tab w:val="left" w:pos="1440"/>
          <w:tab w:val="left" w:pos="3600"/>
          <w:tab w:val="left" w:pos="5760"/>
          <w:tab w:val="left" w:pos="7110"/>
          <w:tab w:val="left" w:pos="8640"/>
        </w:tabs>
        <w:rPr>
          <w:rFonts w:ascii="Rockwell" w:hAnsi="Rockwell" w:cs="Arial"/>
          <w:szCs w:val="24"/>
        </w:rPr>
      </w:pPr>
    </w:p>
    <w:p w:rsidR="00AA581C" w:rsidRPr="00AA581C" w:rsidRDefault="00AA581C" w:rsidP="00AA581C">
      <w:pPr>
        <w:pStyle w:val="Heading3"/>
        <w:shd w:val="clear" w:color="auto" w:fill="FFFFFF" w:themeFill="background1"/>
        <w:spacing w:before="0"/>
        <w:ind w:left="-20" w:right="-20"/>
        <w:rPr>
          <w:rFonts w:ascii="Rockwell" w:eastAsia="Rockwell" w:hAnsi="Rockwell" w:cs="Rockwell"/>
          <w:b/>
          <w:bCs/>
          <w:color w:val="auto"/>
          <w:sz w:val="20"/>
          <w:szCs w:val="20"/>
        </w:rPr>
      </w:pPr>
      <w:r w:rsidRPr="00AA581C">
        <w:rPr>
          <w:rFonts w:ascii="Rockwell" w:eastAsia="Rockwell" w:hAnsi="Rockwell" w:cs="Rockwell"/>
          <w:b/>
          <w:bCs/>
          <w:color w:val="auto"/>
          <w:sz w:val="20"/>
          <w:szCs w:val="20"/>
        </w:rPr>
        <w:t>Public Service Policy</w:t>
      </w:r>
    </w:p>
    <w:p w:rsidR="00AA581C" w:rsidRPr="00AA581C" w:rsidRDefault="00AA581C" w:rsidP="00AA581C">
      <w:pPr>
        <w:pStyle w:val="Heading4"/>
        <w:shd w:val="clear" w:color="auto" w:fill="FFFFFF" w:themeFill="background1"/>
        <w:spacing w:before="0"/>
        <w:ind w:left="-20" w:right="-20"/>
        <w:rPr>
          <w:rFonts w:ascii="Rockwell" w:eastAsia="Rockwell" w:hAnsi="Rockwell" w:cs="Rockwell"/>
          <w:b/>
          <w:bCs/>
          <w:i w:val="0"/>
          <w:iCs w:val="0"/>
          <w:color w:val="auto"/>
          <w:sz w:val="20"/>
          <w:szCs w:val="20"/>
        </w:rPr>
      </w:pPr>
      <w:r w:rsidRPr="00AA581C">
        <w:rPr>
          <w:rFonts w:ascii="Rockwell" w:eastAsia="Rockwell" w:hAnsi="Rockwell" w:cs="Rockwell"/>
          <w:b/>
          <w:bCs/>
          <w:i w:val="0"/>
          <w:iCs w:val="0"/>
          <w:color w:val="auto"/>
          <w:sz w:val="20"/>
          <w:szCs w:val="20"/>
        </w:rPr>
        <w:t>Section 2: Materials Selection</w:t>
      </w:r>
    </w:p>
    <w:p w:rsidR="00AA581C" w:rsidRPr="00AA581C" w:rsidRDefault="00AA581C" w:rsidP="00AA581C">
      <w:pPr>
        <w:spacing w:line="257" w:lineRule="auto"/>
        <w:ind w:left="-20" w:right="-20"/>
        <w:rPr>
          <w:rFonts w:ascii="Rockwell" w:eastAsia="Rockwell" w:hAnsi="Rockwell" w:cs="Rockwell"/>
          <w:b/>
          <w:bCs/>
          <w:sz w:val="20"/>
        </w:rPr>
      </w:pPr>
    </w:p>
    <w:p w:rsidR="00AA581C" w:rsidRPr="00AA581C" w:rsidRDefault="00AA581C" w:rsidP="00AA581C">
      <w:pPr>
        <w:spacing w:line="257" w:lineRule="auto"/>
        <w:ind w:left="-20" w:right="-20"/>
        <w:rPr>
          <w:rFonts w:ascii="Rockwell" w:eastAsia="Rockwell" w:hAnsi="Rockwell" w:cs="Rockwell"/>
          <w:b/>
          <w:bCs/>
          <w:sz w:val="20"/>
        </w:rPr>
      </w:pPr>
      <w:r w:rsidRPr="00AA581C">
        <w:rPr>
          <w:rFonts w:ascii="Rockwell" w:eastAsia="Rockwell" w:hAnsi="Rockwell" w:cs="Rockwell"/>
          <w:b/>
          <w:bCs/>
          <w:sz w:val="20"/>
        </w:rPr>
        <w:t>Local Authors</w:t>
      </w:r>
    </w:p>
    <w:p w:rsidR="00AA581C" w:rsidRPr="00AA581C" w:rsidRDefault="00AA581C" w:rsidP="00AA581C">
      <w:pPr>
        <w:spacing w:line="257" w:lineRule="auto"/>
        <w:ind w:left="-20" w:right="-20"/>
        <w:rPr>
          <w:rFonts w:ascii="Rockwell" w:eastAsia="Rockwell" w:hAnsi="Rockwell" w:cs="Rockwell"/>
          <w:sz w:val="20"/>
        </w:rPr>
      </w:pPr>
      <w:r w:rsidRPr="00AA581C">
        <w:rPr>
          <w:rFonts w:ascii="Rockwell" w:eastAsia="Rockwell" w:hAnsi="Rockwell" w:cs="Rockwell"/>
          <w:sz w:val="20"/>
        </w:rPr>
        <w:t xml:space="preserve">The library celebrates the work of local authors, and strives to highlight the work of local authors by adding their material to the collection for circulation. </w:t>
      </w:r>
    </w:p>
    <w:p w:rsidR="00AA581C" w:rsidRPr="00AA581C" w:rsidRDefault="00AA581C" w:rsidP="00AA581C">
      <w:pPr>
        <w:spacing w:line="257" w:lineRule="auto"/>
        <w:ind w:left="-20" w:right="-20"/>
        <w:rPr>
          <w:rFonts w:ascii="Rockwell" w:eastAsia="Rockwell" w:hAnsi="Rockwell" w:cs="Rockwell"/>
          <w:sz w:val="20"/>
        </w:rPr>
      </w:pPr>
      <w:r w:rsidRPr="00AA581C">
        <w:rPr>
          <w:rFonts w:ascii="Rockwell" w:eastAsia="Rockwell" w:hAnsi="Rockwell" w:cs="Rockwell"/>
          <w:sz w:val="20"/>
        </w:rPr>
        <w:t>In order for an item to be added to the Local Author Collection:</w:t>
      </w:r>
    </w:p>
    <w:p w:rsidR="00AA581C" w:rsidRPr="00AA581C" w:rsidRDefault="00AA581C" w:rsidP="00AA581C">
      <w:pPr>
        <w:pStyle w:val="ListParagraph"/>
        <w:numPr>
          <w:ilvl w:val="0"/>
          <w:numId w:val="1"/>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 xml:space="preserve">The author must reside in Ross County or a surrounding county, or the work must be based in part in the region. </w:t>
      </w:r>
    </w:p>
    <w:p w:rsidR="00AA581C" w:rsidRPr="00AA581C" w:rsidRDefault="00AA581C" w:rsidP="00AA581C">
      <w:pPr>
        <w:pStyle w:val="ListParagraph"/>
        <w:numPr>
          <w:ilvl w:val="0"/>
          <w:numId w:val="1"/>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 xml:space="preserve">The library will only accept or purchase physical formats in new condition. </w:t>
      </w:r>
    </w:p>
    <w:p w:rsidR="00AA581C" w:rsidRPr="00AA581C" w:rsidRDefault="00AA581C" w:rsidP="00AA581C">
      <w:pPr>
        <w:pStyle w:val="ListParagraph"/>
        <w:numPr>
          <w:ilvl w:val="0"/>
          <w:numId w:val="1"/>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 xml:space="preserve">To maintain the integrity of the collection, the material must be bound and formatted in a way that enables circulation, ease of use, and durability. </w:t>
      </w:r>
    </w:p>
    <w:p w:rsidR="00AA581C" w:rsidRPr="00AA581C" w:rsidRDefault="00AA581C" w:rsidP="00AA581C">
      <w:pPr>
        <w:pStyle w:val="ListParagraph"/>
        <w:numPr>
          <w:ilvl w:val="0"/>
          <w:numId w:val="1"/>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 xml:space="preserve">The library will limit the number of titles added to the collection by a single author to five in a one-year period. </w:t>
      </w:r>
    </w:p>
    <w:p w:rsidR="00AA581C" w:rsidRPr="00AA581C" w:rsidRDefault="00AA581C" w:rsidP="00AA581C">
      <w:pPr>
        <w:pStyle w:val="ListParagraph"/>
        <w:numPr>
          <w:ilvl w:val="0"/>
          <w:numId w:val="1"/>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 xml:space="preserve">Items with a local author designation will be held to the same standards as the rest of the collection per the Collection Maintenance policy. </w:t>
      </w:r>
    </w:p>
    <w:p w:rsidR="00AA581C" w:rsidRPr="0060420C" w:rsidRDefault="00AA581C" w:rsidP="00AA581C">
      <w:pPr>
        <w:pStyle w:val="ListParagraph"/>
        <w:numPr>
          <w:ilvl w:val="0"/>
          <w:numId w:val="1"/>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Once a donation is received, it becomes the library's property, and the library reserves the right to exclude any book found to be inappropriate for the collection for any reason.</w:t>
      </w:r>
    </w:p>
    <w:p w:rsidR="00AA581C" w:rsidRPr="00AA581C" w:rsidRDefault="00AA581C" w:rsidP="00AA581C">
      <w:pPr>
        <w:spacing w:line="257" w:lineRule="auto"/>
        <w:ind w:left="-20" w:right="-20"/>
        <w:rPr>
          <w:rFonts w:ascii="Rockwell" w:eastAsia="Rockwell" w:hAnsi="Rockwell" w:cs="Rockwell"/>
          <w:b/>
          <w:bCs/>
          <w:sz w:val="20"/>
        </w:rPr>
      </w:pPr>
      <w:r w:rsidRPr="00AA581C">
        <w:rPr>
          <w:rFonts w:ascii="Rockwell" w:eastAsia="Rockwell" w:hAnsi="Rockwell" w:cs="Rockwell"/>
          <w:b/>
          <w:bCs/>
          <w:sz w:val="20"/>
        </w:rPr>
        <w:t>Local History &amp; Genealogy</w:t>
      </w:r>
    </w:p>
    <w:p w:rsidR="00AA581C" w:rsidRPr="00AA581C" w:rsidRDefault="00AA581C" w:rsidP="00AA581C">
      <w:pPr>
        <w:spacing w:line="257" w:lineRule="auto"/>
        <w:ind w:left="-20" w:right="-20"/>
        <w:rPr>
          <w:rFonts w:ascii="Rockwell" w:eastAsia="Rockwell" w:hAnsi="Rockwell" w:cs="Rockwell"/>
          <w:sz w:val="20"/>
        </w:rPr>
      </w:pPr>
      <w:r w:rsidRPr="00AA581C">
        <w:rPr>
          <w:rFonts w:ascii="Rockwell" w:eastAsia="Rockwell" w:hAnsi="Rockwell" w:cs="Rockwell"/>
          <w:sz w:val="20"/>
        </w:rPr>
        <w:t>The library collects, organizes, preserves, and provides access to sources that document the history and culture of Chillicothe and Ross County, Ohio. Materials are located in the Local History &amp; Genealogy Room of the Main Library on Paint Street. The collection mainly serves the general public, but also supports the research activities of scholars, professionals, and students of all ages.</w:t>
      </w:r>
    </w:p>
    <w:p w:rsidR="00AA581C" w:rsidRPr="00AA581C" w:rsidRDefault="00AA581C" w:rsidP="00AA581C">
      <w:pPr>
        <w:spacing w:line="257" w:lineRule="auto"/>
        <w:ind w:left="-20" w:right="-20"/>
        <w:rPr>
          <w:rFonts w:ascii="Rockwell" w:eastAsia="Rockwell" w:hAnsi="Rockwell" w:cs="Rockwell"/>
          <w:sz w:val="20"/>
        </w:rPr>
      </w:pPr>
      <w:r w:rsidRPr="00AA581C">
        <w:rPr>
          <w:rFonts w:ascii="Rockwell" w:eastAsia="Rockwell" w:hAnsi="Rockwell" w:cs="Rockwell"/>
          <w:sz w:val="20"/>
        </w:rPr>
        <w:t>The library may accept donations of local history and genealogical materials that would benefit the collection.</w:t>
      </w:r>
    </w:p>
    <w:p w:rsidR="00AA581C" w:rsidRPr="00AA581C" w:rsidRDefault="00AA581C" w:rsidP="00AA581C">
      <w:pPr>
        <w:spacing w:line="257" w:lineRule="auto"/>
        <w:ind w:left="-20" w:right="-20"/>
        <w:rPr>
          <w:rFonts w:ascii="Rockwell" w:eastAsia="Rockwell" w:hAnsi="Rockwell" w:cs="Rockwell"/>
          <w:sz w:val="20"/>
        </w:rPr>
      </w:pPr>
      <w:r w:rsidRPr="00AA581C">
        <w:rPr>
          <w:rFonts w:ascii="Rockwell" w:eastAsia="Rockwell" w:hAnsi="Rockwell" w:cs="Rockwell"/>
          <w:sz w:val="20"/>
        </w:rPr>
        <w:t>Selection Criteria:</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Relevance to the history of Chillicothe, Ross County, and surrounding areas.</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Suitability of the subject to the CRCPL Local History &amp; Genealogy collection.</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Available space to house the materials.</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Non-duplication of material within the collection.</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Authenticity and completeness of record.</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Quality and condition of the physical form of material.</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Ease of use for patrons.</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Ability to store, display, or otherwise care for the item properly.</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Cost to preserve, store, and process.</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Security requirements to store and/or display.</w:t>
      </w:r>
    </w:p>
    <w:p w:rsidR="00AA581C" w:rsidRPr="00AA581C" w:rsidRDefault="00AA581C" w:rsidP="00AA581C">
      <w:pPr>
        <w:pStyle w:val="ListParagraph"/>
        <w:numPr>
          <w:ilvl w:val="0"/>
          <w:numId w:val="2"/>
        </w:numPr>
        <w:spacing w:after="160" w:line="257" w:lineRule="auto"/>
        <w:ind w:right="-20"/>
        <w:rPr>
          <w:rFonts w:ascii="Rockwell" w:eastAsia="Rockwell" w:hAnsi="Rockwell" w:cs="Rockwell"/>
          <w:sz w:val="20"/>
          <w:szCs w:val="20"/>
        </w:rPr>
      </w:pPr>
      <w:r w:rsidRPr="00AA581C">
        <w:rPr>
          <w:rFonts w:ascii="Rockwell" w:eastAsia="Rockwell" w:hAnsi="Rockwell" w:cs="Rockwell"/>
          <w:color w:val="auto"/>
          <w:sz w:val="20"/>
          <w:szCs w:val="20"/>
          <w:lang w:val="en-US"/>
        </w:rPr>
        <w:t>Lack of restrictions by donor.</w:t>
      </w:r>
    </w:p>
    <w:p w:rsidR="006976F4" w:rsidRDefault="00AA581C" w:rsidP="00AA581C">
      <w:pPr>
        <w:tabs>
          <w:tab w:val="left" w:pos="1440"/>
          <w:tab w:val="left" w:pos="3600"/>
          <w:tab w:val="left" w:pos="5760"/>
          <w:tab w:val="left" w:pos="7110"/>
          <w:tab w:val="left" w:pos="8640"/>
        </w:tabs>
        <w:rPr>
          <w:rFonts w:ascii="Rockwell" w:eastAsia="Rockwell" w:hAnsi="Rockwell" w:cs="Rockwell"/>
          <w:sz w:val="20"/>
        </w:rPr>
      </w:pPr>
      <w:r w:rsidRPr="00AA581C">
        <w:rPr>
          <w:rFonts w:ascii="Rockwell" w:eastAsia="Rockwell" w:hAnsi="Rockwell" w:cs="Rockwell"/>
          <w:sz w:val="20"/>
        </w:rPr>
        <w:t>The Library reserves the right to refuse an offered donation. The Library will not accept material that shows damage from mold, mildew, water, insects, smoke, or dirt, as such material can harm other items in the collection. The Library may also refuse a donation based on the Criteria for Selection.</w:t>
      </w:r>
    </w:p>
    <w:p w:rsidR="0055276A" w:rsidRPr="005C56C0" w:rsidRDefault="0033284C" w:rsidP="005C56C0">
      <w:pPr>
        <w:tabs>
          <w:tab w:val="left" w:pos="1440"/>
          <w:tab w:val="left" w:pos="3600"/>
          <w:tab w:val="left" w:pos="5760"/>
          <w:tab w:val="left" w:pos="7110"/>
          <w:tab w:val="left" w:pos="8640"/>
        </w:tabs>
        <w:rPr>
          <w:rFonts w:ascii="Rockwell" w:hAnsi="Rockwell" w:cs="Arial"/>
          <w:sz w:val="20"/>
        </w:rPr>
      </w:pPr>
      <w:r w:rsidRPr="00AA581C">
        <w:rPr>
          <w:rFonts w:ascii="Rockwell" w:hAnsi="Rockwell" w:cs="Arial"/>
          <w:sz w:val="20"/>
        </w:rPr>
        <w:tab/>
      </w:r>
    </w:p>
    <w:p w:rsidR="005C56C0" w:rsidRDefault="005C56C0" w:rsidP="0055276A">
      <w:pPr>
        <w:tabs>
          <w:tab w:val="left" w:pos="7110"/>
          <w:tab w:val="left" w:pos="8640"/>
        </w:tabs>
        <w:rPr>
          <w:rFonts w:ascii="Rockwell" w:hAnsi="Rockwell"/>
          <w:b/>
        </w:rPr>
      </w:pPr>
    </w:p>
    <w:p w:rsidR="0055276A" w:rsidRDefault="006976F4" w:rsidP="0055276A">
      <w:pPr>
        <w:tabs>
          <w:tab w:val="left" w:pos="7110"/>
          <w:tab w:val="left" w:pos="8640"/>
        </w:tabs>
        <w:rPr>
          <w:rFonts w:ascii="Rockwell" w:hAnsi="Rockwell"/>
        </w:rPr>
      </w:pPr>
      <w:r>
        <w:rPr>
          <w:rFonts w:ascii="Rockwell" w:hAnsi="Rockwell"/>
          <w:b/>
        </w:rPr>
        <w:lastRenderedPageBreak/>
        <w:t xml:space="preserve">New </w:t>
      </w:r>
      <w:r w:rsidR="0055276A">
        <w:rPr>
          <w:rFonts w:ascii="Rockwell" w:hAnsi="Rockwell"/>
          <w:b/>
        </w:rPr>
        <w:t>Accessibility Statement</w:t>
      </w:r>
      <w:r w:rsidR="0055276A">
        <w:rPr>
          <w:rFonts w:ascii="Rockwell" w:hAnsi="Rockwell"/>
        </w:rPr>
        <w:t xml:space="preserve"> ADA requirements have been in place for many years, but website have historically been overlooked when it comes to meeting those standards. Finally this year, however, we’re adding a software overlay that makes our website friendly for users who rely on text readers or even users who need a larger font or more contrast. As a part of that project, it is recommended that the library have an Accessibility Statement describing our goals and responsibilities. Using examples gathered from other libraries, we drafted a statement that expresses CRCPL’s desires to be inclusive for users of all abilities</w:t>
      </w:r>
    </w:p>
    <w:p w:rsidR="002F22B4" w:rsidRDefault="002F22B4" w:rsidP="0055276A">
      <w:pPr>
        <w:tabs>
          <w:tab w:val="left" w:pos="7110"/>
          <w:tab w:val="left" w:pos="8640"/>
        </w:tabs>
        <w:rPr>
          <w:rFonts w:ascii="Rockwell" w:hAnsi="Rockwell" w:cs="Arial"/>
          <w:szCs w:val="24"/>
        </w:rPr>
      </w:pPr>
    </w:p>
    <w:p w:rsidR="0055276A" w:rsidRDefault="0055276A" w:rsidP="0055276A">
      <w:pPr>
        <w:tabs>
          <w:tab w:val="left" w:pos="7110"/>
          <w:tab w:val="left" w:pos="8640"/>
        </w:tabs>
        <w:rPr>
          <w:rFonts w:ascii="Rockwell" w:hAnsi="Rockwell" w:cs="Arial"/>
          <w:szCs w:val="24"/>
        </w:rPr>
      </w:pPr>
      <w:r>
        <w:rPr>
          <w:rFonts w:ascii="Rockwell" w:hAnsi="Rockwell" w:cs="Arial"/>
          <w:szCs w:val="24"/>
        </w:rPr>
        <w:tab/>
        <w:t>Pols. “C”</w:t>
      </w:r>
    </w:p>
    <w:p w:rsidR="0055276A" w:rsidRPr="000B3A3C" w:rsidRDefault="0055276A" w:rsidP="0055276A">
      <w:pPr>
        <w:tabs>
          <w:tab w:val="left" w:pos="7110"/>
          <w:tab w:val="left" w:pos="8640"/>
        </w:tabs>
        <w:rPr>
          <w:rFonts w:ascii="Rockwell" w:hAnsi="Rockwell" w:cs="Arial"/>
          <w:szCs w:val="24"/>
        </w:rPr>
      </w:pPr>
      <w:r>
        <w:rPr>
          <w:rFonts w:ascii="Rockwell" w:hAnsi="Rockwell" w:cs="Arial"/>
          <w:szCs w:val="24"/>
        </w:rPr>
        <w:tab/>
        <w:t xml:space="preserve">Resolution </w:t>
      </w:r>
      <w:r w:rsidR="002F22B4">
        <w:rPr>
          <w:rFonts w:ascii="Rockwell" w:hAnsi="Rockwell" w:cs="Arial"/>
          <w:szCs w:val="24"/>
        </w:rPr>
        <w:t>25</w:t>
      </w:r>
      <w:r>
        <w:rPr>
          <w:rFonts w:ascii="Rockwell" w:hAnsi="Rockwell" w:cs="Arial"/>
          <w:szCs w:val="24"/>
        </w:rPr>
        <w:t xml:space="preserve">-24   </w:t>
      </w:r>
      <w:r>
        <w:rPr>
          <w:rFonts w:ascii="Rockwell" w:hAnsi="Rockwell" w:cs="Arial"/>
          <w:b/>
          <w:szCs w:val="24"/>
          <w:u w:val="single"/>
        </w:rPr>
        <w:t>Approve Accessibility Statement</w:t>
      </w:r>
    </w:p>
    <w:p w:rsidR="0055276A" w:rsidRPr="007B626C" w:rsidRDefault="00C55926" w:rsidP="0055276A">
      <w:pPr>
        <w:tabs>
          <w:tab w:val="left" w:pos="2160"/>
          <w:tab w:val="left" w:pos="7200"/>
          <w:tab w:val="left" w:pos="8640"/>
        </w:tabs>
        <w:rPr>
          <w:rFonts w:ascii="Rockwell" w:hAnsi="Rockwell" w:cs="Arial"/>
          <w:b/>
          <w:bCs/>
          <w:szCs w:val="24"/>
          <w:u w:val="single"/>
        </w:rPr>
      </w:pPr>
      <w:r>
        <w:rPr>
          <w:rFonts w:ascii="Rockwell" w:hAnsi="Rockwell" w:cs="Arial"/>
          <w:bCs/>
          <w:szCs w:val="24"/>
        </w:rPr>
        <w:t>L. Graves</w:t>
      </w:r>
      <w:r w:rsidR="0055276A">
        <w:rPr>
          <w:rFonts w:ascii="Rockwell" w:hAnsi="Rockwell" w:cs="Arial"/>
          <w:bCs/>
          <w:szCs w:val="24"/>
        </w:rPr>
        <w:t xml:space="preserve"> </w:t>
      </w:r>
      <w:r w:rsidR="0055276A" w:rsidRPr="008C50DA">
        <w:rPr>
          <w:rFonts w:ascii="Rockwell" w:hAnsi="Rockwell" w:cs="Arial"/>
          <w:szCs w:val="24"/>
        </w:rPr>
        <w:t>m</w:t>
      </w:r>
      <w:r w:rsidR="0055276A">
        <w:rPr>
          <w:rFonts w:ascii="Rockwell" w:hAnsi="Rockwell" w:cs="Arial"/>
          <w:szCs w:val="24"/>
        </w:rPr>
        <w:t xml:space="preserve">oved and </w:t>
      </w:r>
      <w:r>
        <w:rPr>
          <w:rFonts w:ascii="Rockwell" w:hAnsi="Rockwell" w:cs="Arial"/>
          <w:sz w:val="22"/>
          <w:szCs w:val="22"/>
        </w:rPr>
        <w:t>A. Oyer</w:t>
      </w:r>
      <w:r w:rsidR="0055276A">
        <w:rPr>
          <w:rFonts w:ascii="Rockwell" w:hAnsi="Rockwell" w:cs="Arial"/>
          <w:szCs w:val="24"/>
        </w:rPr>
        <w:t xml:space="preserve"> </w:t>
      </w:r>
      <w:r w:rsidR="0055276A" w:rsidRPr="008C50DA">
        <w:rPr>
          <w:rFonts w:ascii="Rockwell" w:hAnsi="Rockwell" w:cs="Arial"/>
          <w:szCs w:val="24"/>
        </w:rPr>
        <w:t>seconded the adoption of the following resolution.</w:t>
      </w:r>
    </w:p>
    <w:p w:rsidR="0055276A" w:rsidRDefault="0055276A" w:rsidP="0055276A">
      <w:pPr>
        <w:tabs>
          <w:tab w:val="left" w:pos="7110"/>
          <w:tab w:val="left" w:pos="8640"/>
        </w:tabs>
        <w:rPr>
          <w:rFonts w:ascii="Rockwell" w:hAnsi="Rockwell" w:cs="Arial"/>
          <w:szCs w:val="24"/>
        </w:rPr>
      </w:pPr>
      <w:r w:rsidRPr="008C50DA">
        <w:rPr>
          <w:rFonts w:ascii="Rockwell" w:hAnsi="Rockwell" w:cs="Arial"/>
          <w:szCs w:val="24"/>
          <w:u w:val="single"/>
          <w:lang w:eastAsia="x-none"/>
        </w:rPr>
        <w:t>That</w:t>
      </w:r>
      <w:r>
        <w:rPr>
          <w:rFonts w:ascii="Rockwell" w:hAnsi="Rockwell" w:cs="Arial"/>
          <w:szCs w:val="24"/>
          <w:lang w:eastAsia="x-none"/>
        </w:rPr>
        <w:t xml:space="preserve"> new CRCPL Accessibility Statement be approved as presented.  </w:t>
      </w:r>
      <w:r>
        <w:rPr>
          <w:rFonts w:ascii="Rockwell" w:hAnsi="Rockwell" w:cs="Arial"/>
          <w:szCs w:val="24"/>
        </w:rPr>
        <w:tab/>
        <w:t xml:space="preserve">                               </w:t>
      </w:r>
    </w:p>
    <w:p w:rsidR="0055276A" w:rsidRPr="008C50DA" w:rsidRDefault="0055276A" w:rsidP="0055276A">
      <w:pPr>
        <w:tabs>
          <w:tab w:val="left" w:pos="2160"/>
          <w:tab w:val="left" w:pos="7200"/>
          <w:tab w:val="left" w:pos="8640"/>
        </w:tabs>
        <w:rPr>
          <w:rFonts w:ascii="Rockwell" w:hAnsi="Rockwell" w:cs="Arial"/>
          <w:bCs/>
          <w:szCs w:val="24"/>
        </w:rPr>
      </w:pPr>
    </w:p>
    <w:p w:rsidR="0055276A" w:rsidRDefault="0055276A" w:rsidP="0055276A">
      <w:pPr>
        <w:tabs>
          <w:tab w:val="left" w:pos="7110"/>
          <w:tab w:val="left" w:pos="8640"/>
        </w:tabs>
        <w:rPr>
          <w:rFonts w:ascii="Rockwell" w:hAnsi="Rockwell" w:cs="Arial"/>
          <w:szCs w:val="24"/>
        </w:rPr>
      </w:pPr>
      <w:r w:rsidRPr="004C542A">
        <w:rPr>
          <w:rFonts w:ascii="Rockwell" w:hAnsi="Rockwell" w:cs="Arial"/>
          <w:szCs w:val="24"/>
        </w:rPr>
        <w:t>The roll being calle</w:t>
      </w:r>
      <w:r w:rsidR="00A47E23">
        <w:rPr>
          <w:rFonts w:ascii="Rockwell" w:hAnsi="Rockwell" w:cs="Arial"/>
          <w:szCs w:val="24"/>
        </w:rPr>
        <w:t>d, the vote resulted as follows:</w:t>
      </w:r>
    </w:p>
    <w:p w:rsidR="00C55926" w:rsidRPr="001D05EB" w:rsidRDefault="00C55926" w:rsidP="00C55926">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Y</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Y              A. Hirsch   Y            A. Oyer    Y                   </w:t>
      </w:r>
    </w:p>
    <w:p w:rsidR="0055276A" w:rsidRDefault="0055276A" w:rsidP="0055276A">
      <w:pPr>
        <w:tabs>
          <w:tab w:val="left" w:pos="1440"/>
          <w:tab w:val="left" w:pos="3600"/>
          <w:tab w:val="left" w:pos="5760"/>
          <w:tab w:val="left" w:pos="7110"/>
          <w:tab w:val="left" w:pos="8640"/>
        </w:tabs>
        <w:rPr>
          <w:rFonts w:ascii="Rockwell" w:hAnsi="Rockwell" w:cs="Arial"/>
          <w:sz w:val="20"/>
        </w:rPr>
      </w:pPr>
    </w:p>
    <w:p w:rsidR="0055276A" w:rsidRPr="0055276A" w:rsidRDefault="0055276A" w:rsidP="0055276A">
      <w:pPr>
        <w:jc w:val="center"/>
        <w:rPr>
          <w:rFonts w:ascii="Rockwell" w:hAnsi="Rockwell"/>
          <w:b/>
          <w:sz w:val="20"/>
        </w:rPr>
      </w:pPr>
      <w:r w:rsidRPr="0055276A">
        <w:rPr>
          <w:rFonts w:ascii="Rockwell" w:hAnsi="Rockwell"/>
          <w:b/>
          <w:sz w:val="20"/>
        </w:rPr>
        <w:t>CRCPL Accessibility Statement</w:t>
      </w:r>
    </w:p>
    <w:p w:rsidR="0055276A" w:rsidRPr="0055276A" w:rsidRDefault="0055276A" w:rsidP="0055276A">
      <w:pPr>
        <w:rPr>
          <w:rFonts w:ascii="Rockwell" w:hAnsi="Rockwell"/>
          <w:sz w:val="20"/>
        </w:rPr>
      </w:pPr>
    </w:p>
    <w:p w:rsidR="0055276A" w:rsidRPr="0055276A" w:rsidRDefault="0055276A" w:rsidP="0055276A">
      <w:pPr>
        <w:rPr>
          <w:rFonts w:ascii="Rockwell" w:hAnsi="Rockwell"/>
          <w:b/>
          <w:sz w:val="20"/>
        </w:rPr>
      </w:pPr>
      <w:r w:rsidRPr="0055276A">
        <w:rPr>
          <w:rFonts w:ascii="Rockwell" w:hAnsi="Rockwell"/>
          <w:b/>
          <w:sz w:val="20"/>
        </w:rPr>
        <w:t>Statement on Diversity, Equity, and Inclusion</w:t>
      </w:r>
    </w:p>
    <w:p w:rsidR="0055276A" w:rsidRPr="0055276A" w:rsidRDefault="0055276A" w:rsidP="0055276A">
      <w:pPr>
        <w:rPr>
          <w:rFonts w:ascii="Rockwell" w:hAnsi="Rockwell"/>
          <w:i/>
          <w:sz w:val="20"/>
        </w:rPr>
      </w:pPr>
      <w:r w:rsidRPr="0055276A">
        <w:rPr>
          <w:rFonts w:ascii="Rockwell" w:hAnsi="Rockwell"/>
          <w:sz w:val="20"/>
        </w:rPr>
        <w:t xml:space="preserve">Chillicothe and Ross County Public Library is a place where diversity is celebrated, equity is prioritized, and inclusion is a guiding principle. Your library is committed to providing a welcoming and accessible space for everybody in the community to ensure that each individual feels valued, respected, and empowered. Your library strives to achieve this through the collections, programs, and services provided, all of which aim to represent the identities and cultures that make up this beloved community. By cultivating an environment where differences are embraced, barriers are dismantled, and opportunities are accessible to all, the library hopes to create a space that celebrates the spirit of inclusion and serves as a beacon of unity within your county. </w:t>
      </w:r>
      <w:r w:rsidRPr="0055276A">
        <w:rPr>
          <w:rFonts w:ascii="Rockwell" w:hAnsi="Rockwell"/>
          <w:i/>
          <w:sz w:val="20"/>
        </w:rPr>
        <w:t>(DEI Statement approved September 2023)</w:t>
      </w:r>
    </w:p>
    <w:p w:rsidR="0055276A" w:rsidRPr="0055276A" w:rsidRDefault="0055276A" w:rsidP="0055276A">
      <w:pPr>
        <w:rPr>
          <w:rFonts w:ascii="Rockwell" w:hAnsi="Rockwell"/>
          <w:sz w:val="20"/>
        </w:rPr>
      </w:pPr>
    </w:p>
    <w:p w:rsidR="0055276A" w:rsidRPr="0055276A" w:rsidRDefault="0055276A" w:rsidP="0055276A">
      <w:pPr>
        <w:rPr>
          <w:rFonts w:ascii="Rockwell" w:hAnsi="Rockwell"/>
          <w:b/>
          <w:sz w:val="20"/>
        </w:rPr>
      </w:pPr>
      <w:r w:rsidRPr="0055276A">
        <w:rPr>
          <w:rFonts w:ascii="Rockwell" w:hAnsi="Rockwell"/>
          <w:b/>
          <w:sz w:val="20"/>
        </w:rPr>
        <w:t>Focus on Accessibility</w:t>
      </w:r>
    </w:p>
    <w:p w:rsidR="0055276A" w:rsidRPr="0055276A" w:rsidRDefault="0055276A" w:rsidP="0055276A">
      <w:pPr>
        <w:rPr>
          <w:rFonts w:ascii="Rockwell" w:hAnsi="Rockwell"/>
          <w:sz w:val="20"/>
        </w:rPr>
      </w:pPr>
      <w:r w:rsidRPr="0055276A">
        <w:rPr>
          <w:rFonts w:ascii="Rockwell" w:hAnsi="Rockwell"/>
          <w:sz w:val="20"/>
        </w:rPr>
        <w:t>We believe “The Library is for Everybody,” and we strive to make our spaces in person and online accessible to all patrons, regardless of ability or disability. We’ve put significant resources towards accessibility in our libraries and on our website to ensure that all of our services are accessible to every citizen, and that those citizens are empowered to use our services with dignity, equity, and independence.</w:t>
      </w:r>
    </w:p>
    <w:p w:rsidR="0055276A" w:rsidRPr="0055276A" w:rsidRDefault="0055276A" w:rsidP="0055276A">
      <w:pPr>
        <w:rPr>
          <w:rFonts w:ascii="Rockwell" w:hAnsi="Rockwell"/>
          <w:sz w:val="20"/>
        </w:rPr>
      </w:pPr>
    </w:p>
    <w:p w:rsidR="0055276A" w:rsidRPr="0055276A" w:rsidRDefault="0055276A" w:rsidP="0055276A">
      <w:pPr>
        <w:rPr>
          <w:rFonts w:ascii="Rockwell" w:hAnsi="Rockwell"/>
          <w:b/>
          <w:sz w:val="20"/>
        </w:rPr>
      </w:pPr>
      <w:r w:rsidRPr="0055276A">
        <w:rPr>
          <w:rFonts w:ascii="Rockwell" w:hAnsi="Rockwell"/>
          <w:b/>
          <w:sz w:val="20"/>
        </w:rPr>
        <w:t>Accessibility on the Website</w:t>
      </w:r>
    </w:p>
    <w:p w:rsidR="0055276A" w:rsidRPr="0055276A" w:rsidRDefault="0055276A" w:rsidP="0055276A">
      <w:pPr>
        <w:rPr>
          <w:rFonts w:ascii="Rockwell" w:hAnsi="Rockwell"/>
          <w:sz w:val="20"/>
        </w:rPr>
      </w:pPr>
      <w:r w:rsidRPr="0055276A">
        <w:rPr>
          <w:rFonts w:ascii="Rockwell" w:hAnsi="Rockwell"/>
          <w:sz w:val="20"/>
        </w:rPr>
        <w:t>We firmly believe that our online services should be available and accessible to anyone and are committed to providing a website that is accessible to the broadest possible audience, regardless of ability. </w:t>
      </w:r>
    </w:p>
    <w:p w:rsidR="0055276A" w:rsidRPr="0055276A" w:rsidRDefault="0055276A" w:rsidP="0055276A">
      <w:pPr>
        <w:rPr>
          <w:rFonts w:ascii="Rockwell" w:hAnsi="Rockwell"/>
          <w:sz w:val="20"/>
        </w:rPr>
      </w:pPr>
    </w:p>
    <w:p w:rsidR="0055276A" w:rsidRPr="0055276A" w:rsidRDefault="0055276A" w:rsidP="0055276A">
      <w:pPr>
        <w:rPr>
          <w:rFonts w:ascii="Rockwell" w:hAnsi="Rockwell"/>
          <w:sz w:val="20"/>
        </w:rPr>
      </w:pPr>
      <w:r w:rsidRPr="0055276A">
        <w:rPr>
          <w:rFonts w:ascii="Rockwell" w:hAnsi="Rockwell"/>
          <w:sz w:val="20"/>
        </w:rPr>
        <w:t>To fulfill this, we aim to adhere as strictly as possible to the World Wide Web Consortium’s (W3C) Web Content Accessibility Guidelines 2.1 (WCAG 2.1) at the AA level. These guidelines explain how to make web content accessible to people with a wide array of disabilities. Complying with those guidelines helps us ensure that the website is accessible to blind people, people with motor impairments, visual impairment, cognitive disabilities, and more. </w:t>
      </w:r>
    </w:p>
    <w:p w:rsidR="0055276A" w:rsidRPr="0055276A" w:rsidRDefault="0055276A" w:rsidP="0055276A">
      <w:pPr>
        <w:rPr>
          <w:rFonts w:ascii="Rockwell" w:hAnsi="Rockwell"/>
          <w:sz w:val="20"/>
        </w:rPr>
      </w:pPr>
    </w:p>
    <w:p w:rsidR="0055276A" w:rsidRPr="0055276A" w:rsidRDefault="0055276A" w:rsidP="0055276A">
      <w:pPr>
        <w:rPr>
          <w:rFonts w:ascii="Rockwell" w:hAnsi="Rockwell"/>
          <w:b/>
          <w:sz w:val="20"/>
        </w:rPr>
      </w:pPr>
      <w:r w:rsidRPr="0055276A">
        <w:rPr>
          <w:rFonts w:ascii="Rockwell" w:hAnsi="Rockwell"/>
          <w:b/>
          <w:sz w:val="20"/>
        </w:rPr>
        <w:t>Accessibility Widget</w:t>
      </w:r>
    </w:p>
    <w:p w:rsidR="0055276A" w:rsidRPr="0055276A" w:rsidRDefault="0055276A" w:rsidP="0055276A">
      <w:pPr>
        <w:rPr>
          <w:rFonts w:ascii="Rockwell" w:hAnsi="Rockwell"/>
          <w:sz w:val="20"/>
        </w:rPr>
      </w:pPr>
      <w:r w:rsidRPr="0055276A">
        <w:rPr>
          <w:rFonts w:ascii="Rockwell" w:hAnsi="Rockwell"/>
          <w:sz w:val="20"/>
        </w:rPr>
        <w:lastRenderedPageBreak/>
        <w:t>Our website, CRCPL.org, utilizes the Accessibe accessibility widget to provide fine-tuned accessibility options for each site visitor.  The Accessibe widget provides a multitude of accessibility options such as Seizure-Safe, Vision Impaired, and ADHD Friendly profiles, integration with Screen Readers, adjustable font and contrast, and more.  Provision of these accessibility options ensures our compliance with Web Content Accessibility Guidelines (WCAG 2.1).</w:t>
      </w:r>
    </w:p>
    <w:p w:rsidR="0055276A" w:rsidRPr="0055276A" w:rsidRDefault="0055276A" w:rsidP="0055276A">
      <w:pPr>
        <w:rPr>
          <w:rFonts w:ascii="Rockwell" w:hAnsi="Rockwell"/>
          <w:sz w:val="20"/>
        </w:rPr>
      </w:pPr>
    </w:p>
    <w:p w:rsidR="0055276A" w:rsidRPr="0055276A" w:rsidRDefault="0055276A" w:rsidP="0055276A">
      <w:pPr>
        <w:rPr>
          <w:rFonts w:ascii="Rockwell" w:hAnsi="Rockwell"/>
          <w:b/>
          <w:sz w:val="20"/>
        </w:rPr>
      </w:pPr>
      <w:r w:rsidRPr="0055276A">
        <w:rPr>
          <w:rFonts w:ascii="Rockwell" w:hAnsi="Rockwell"/>
          <w:b/>
          <w:sz w:val="20"/>
        </w:rPr>
        <w:t>Using the Accessibility Widget</w:t>
      </w:r>
    </w:p>
    <w:p w:rsidR="0055276A" w:rsidRPr="0055276A" w:rsidRDefault="0055276A" w:rsidP="0055276A">
      <w:pPr>
        <w:rPr>
          <w:rFonts w:ascii="Rockwell" w:hAnsi="Rockwell"/>
          <w:sz w:val="20"/>
        </w:rPr>
      </w:pPr>
      <w:r w:rsidRPr="0055276A">
        <w:rPr>
          <w:rFonts w:ascii="Rockwell" w:hAnsi="Rockwell"/>
          <w:sz w:val="20"/>
        </w:rPr>
        <w:t>Accessibility options for our website can be enabled by clicking the accessibility menu button in the lower right-hand corner of our website.  The button appears as a blue circle with a person in the center.  After clicking the button, simply wait for the menu to load, then toggle your preferences and allow the site to re-load with those features.  A blue check mark appears on the button when an accessibility feature is enabled.  To clear accessibility preferences, simply click the button again, and toggle your selections off.</w:t>
      </w:r>
    </w:p>
    <w:p w:rsidR="0055276A" w:rsidRPr="0055276A" w:rsidRDefault="0055276A" w:rsidP="0055276A">
      <w:pPr>
        <w:rPr>
          <w:rFonts w:ascii="Rockwell" w:hAnsi="Rockwell"/>
          <w:sz w:val="20"/>
        </w:rPr>
      </w:pPr>
    </w:p>
    <w:p w:rsidR="0055276A" w:rsidRPr="0055276A" w:rsidRDefault="0055276A" w:rsidP="0055276A">
      <w:pPr>
        <w:rPr>
          <w:rFonts w:ascii="Rockwell" w:hAnsi="Rockwell"/>
          <w:sz w:val="20"/>
        </w:rPr>
      </w:pPr>
      <w:r w:rsidRPr="0055276A">
        <w:rPr>
          <w:rFonts w:ascii="Rockwell" w:hAnsi="Rockwell"/>
          <w:sz w:val="20"/>
        </w:rPr>
        <w:t>Accessibe’s full Accessibility Statement can be viewed by clicking on the blue button, then selecting “Statement” from the top of the menu.</w:t>
      </w:r>
    </w:p>
    <w:p w:rsidR="0055276A" w:rsidRPr="0055276A" w:rsidRDefault="0055276A" w:rsidP="0055276A">
      <w:pPr>
        <w:rPr>
          <w:rFonts w:ascii="Rockwell" w:hAnsi="Rockwell"/>
          <w:sz w:val="20"/>
        </w:rPr>
      </w:pPr>
    </w:p>
    <w:p w:rsidR="0055276A" w:rsidRPr="0055276A" w:rsidRDefault="0055276A" w:rsidP="0055276A">
      <w:pPr>
        <w:rPr>
          <w:rFonts w:ascii="Rockwell" w:hAnsi="Rockwell"/>
          <w:b/>
          <w:sz w:val="20"/>
        </w:rPr>
      </w:pPr>
      <w:r w:rsidRPr="0055276A">
        <w:rPr>
          <w:rFonts w:ascii="Rockwell" w:hAnsi="Rockwell"/>
          <w:b/>
          <w:sz w:val="20"/>
        </w:rPr>
        <w:t>Our Commitment</w:t>
      </w:r>
    </w:p>
    <w:p w:rsidR="0055276A" w:rsidRPr="0055276A" w:rsidRDefault="0055276A" w:rsidP="0055276A">
      <w:pPr>
        <w:rPr>
          <w:rFonts w:ascii="Rockwell" w:hAnsi="Rockwell"/>
          <w:sz w:val="20"/>
        </w:rPr>
      </w:pPr>
      <w:r w:rsidRPr="0055276A">
        <w:rPr>
          <w:rFonts w:ascii="Rockwell" w:hAnsi="Rockwell"/>
          <w:sz w:val="20"/>
        </w:rPr>
        <w:t>CRCPL will continually work to improve the accessibility of our physical and online spaces to ensure seamless access to library resources for all users.</w:t>
      </w:r>
    </w:p>
    <w:p w:rsidR="0055276A" w:rsidRPr="0055276A" w:rsidRDefault="0055276A" w:rsidP="0055276A">
      <w:pPr>
        <w:rPr>
          <w:rFonts w:ascii="Rockwell" w:hAnsi="Rockwell"/>
          <w:sz w:val="20"/>
        </w:rPr>
      </w:pPr>
    </w:p>
    <w:p w:rsidR="0055276A" w:rsidRPr="0055276A" w:rsidRDefault="0055276A" w:rsidP="0055276A">
      <w:pPr>
        <w:rPr>
          <w:rFonts w:ascii="Rockwell" w:hAnsi="Rockwell"/>
          <w:sz w:val="20"/>
        </w:rPr>
      </w:pPr>
      <w:r w:rsidRPr="0055276A">
        <w:rPr>
          <w:rFonts w:ascii="Rockwell" w:hAnsi="Rockwell"/>
          <w:sz w:val="20"/>
        </w:rPr>
        <w:t>Despite our efforts to make this site fully accessible, some content may not have yet been fully adapted to the strictest accessibility standards.  We will work with our web site administrator to update any non-compliant features as we become aware of them.</w:t>
      </w:r>
    </w:p>
    <w:p w:rsidR="0055276A" w:rsidRPr="0055276A" w:rsidRDefault="0055276A" w:rsidP="0055276A">
      <w:pPr>
        <w:rPr>
          <w:rFonts w:ascii="Rockwell" w:hAnsi="Rockwell"/>
          <w:sz w:val="20"/>
        </w:rPr>
      </w:pPr>
    </w:p>
    <w:p w:rsidR="0055276A" w:rsidRPr="0055276A" w:rsidRDefault="0055276A" w:rsidP="0055276A">
      <w:pPr>
        <w:rPr>
          <w:rFonts w:ascii="Rockwell" w:hAnsi="Rockwell"/>
          <w:b/>
          <w:sz w:val="20"/>
        </w:rPr>
      </w:pPr>
      <w:r w:rsidRPr="0055276A">
        <w:rPr>
          <w:rFonts w:ascii="Rockwell" w:hAnsi="Rockwell"/>
          <w:b/>
          <w:sz w:val="20"/>
        </w:rPr>
        <w:t>Reach Out</w:t>
      </w:r>
    </w:p>
    <w:p w:rsidR="0055276A" w:rsidRPr="0055276A" w:rsidRDefault="0055276A" w:rsidP="0055276A">
      <w:pPr>
        <w:rPr>
          <w:rFonts w:ascii="Rockwell" w:hAnsi="Rockwell"/>
          <w:sz w:val="20"/>
        </w:rPr>
      </w:pPr>
      <w:r w:rsidRPr="0055276A">
        <w:rPr>
          <w:rFonts w:ascii="Rockwell" w:hAnsi="Rockwell"/>
          <w:sz w:val="20"/>
        </w:rPr>
        <w:t xml:space="preserve">If you are having trouble on the CRCPL website or using the accessibility tool, please contact the library at 740-702-4145 or </w:t>
      </w:r>
      <w:hyperlink r:id="rId8" w:history="1">
        <w:r w:rsidRPr="0055276A">
          <w:rPr>
            <w:rStyle w:val="Hyperlink"/>
            <w:rFonts w:ascii="Rockwell" w:hAnsi="Rockwell"/>
            <w:sz w:val="20"/>
          </w:rPr>
          <w:t>contact@crcpl.org</w:t>
        </w:r>
      </w:hyperlink>
      <w:r w:rsidRPr="0055276A">
        <w:rPr>
          <w:rFonts w:ascii="Rockwell" w:hAnsi="Rockwell"/>
          <w:sz w:val="20"/>
        </w:rPr>
        <w:t xml:space="preserve"> and we will be happy to assist you.</w:t>
      </w:r>
    </w:p>
    <w:p w:rsidR="0055276A" w:rsidRPr="0055276A" w:rsidRDefault="0055276A" w:rsidP="0055276A">
      <w:pPr>
        <w:rPr>
          <w:rFonts w:ascii="Rockwell" w:hAnsi="Rockwell"/>
          <w:sz w:val="20"/>
        </w:rPr>
      </w:pPr>
    </w:p>
    <w:p w:rsidR="0055276A" w:rsidRPr="0055276A" w:rsidRDefault="0055276A" w:rsidP="0055276A">
      <w:pPr>
        <w:rPr>
          <w:rFonts w:ascii="Rockwell" w:hAnsi="Rockwell"/>
          <w:sz w:val="20"/>
        </w:rPr>
      </w:pPr>
      <w:r w:rsidRPr="0055276A">
        <w:rPr>
          <w:rFonts w:ascii="Rockwell" w:hAnsi="Rockwell"/>
          <w:sz w:val="20"/>
        </w:rPr>
        <w:t xml:space="preserve">Free 1-1 </w:t>
      </w:r>
      <w:hyperlink r:id="rId9" w:history="1">
        <w:r w:rsidRPr="0055276A">
          <w:rPr>
            <w:rStyle w:val="Hyperlink"/>
            <w:rFonts w:ascii="Rockwell" w:hAnsi="Rockwell"/>
            <w:sz w:val="20"/>
          </w:rPr>
          <w:t>Tech Tutoring</w:t>
        </w:r>
      </w:hyperlink>
      <w:r w:rsidRPr="0055276A">
        <w:rPr>
          <w:rFonts w:ascii="Rockwell" w:hAnsi="Rockwell"/>
          <w:sz w:val="20"/>
        </w:rPr>
        <w:t xml:space="preserve"> Sessions are also available for training on our website and its accessibility features.</w:t>
      </w:r>
    </w:p>
    <w:p w:rsidR="0055276A" w:rsidRDefault="0055276A" w:rsidP="0033284C">
      <w:pPr>
        <w:tabs>
          <w:tab w:val="left" w:pos="1440"/>
          <w:tab w:val="left" w:pos="3600"/>
          <w:tab w:val="left" w:pos="5760"/>
          <w:tab w:val="left" w:pos="7110"/>
          <w:tab w:val="left" w:pos="8640"/>
        </w:tabs>
        <w:rPr>
          <w:rFonts w:ascii="Rockwell" w:hAnsi="Rockwell" w:cs="Arial"/>
          <w:sz w:val="20"/>
        </w:rPr>
      </w:pPr>
    </w:p>
    <w:p w:rsidR="0055276A" w:rsidRDefault="0055276A" w:rsidP="0033284C">
      <w:pPr>
        <w:tabs>
          <w:tab w:val="left" w:pos="1440"/>
          <w:tab w:val="left" w:pos="3600"/>
          <w:tab w:val="left" w:pos="5760"/>
          <w:tab w:val="left" w:pos="7110"/>
          <w:tab w:val="left" w:pos="8640"/>
        </w:tabs>
        <w:rPr>
          <w:rFonts w:ascii="Rockwell" w:hAnsi="Rockwell" w:cs="Arial"/>
          <w:sz w:val="20"/>
        </w:rPr>
      </w:pPr>
    </w:p>
    <w:p w:rsidR="00B6087F" w:rsidRPr="00AA581C" w:rsidRDefault="00B6087F" w:rsidP="0033284C">
      <w:pPr>
        <w:tabs>
          <w:tab w:val="left" w:pos="1440"/>
          <w:tab w:val="left" w:pos="3600"/>
          <w:tab w:val="left" w:pos="5760"/>
          <w:tab w:val="left" w:pos="7110"/>
          <w:tab w:val="left" w:pos="8640"/>
        </w:tabs>
        <w:rPr>
          <w:rFonts w:ascii="Rockwell" w:hAnsi="Rockwell" w:cs="Arial"/>
          <w:sz w:val="20"/>
        </w:rPr>
      </w:pPr>
    </w:p>
    <w:p w:rsidR="0033284C" w:rsidRDefault="00C55926" w:rsidP="0033284C">
      <w:pPr>
        <w:jc w:val="both"/>
        <w:rPr>
          <w:rFonts w:ascii="Rockwell" w:hAnsi="Rockwell" w:cs="Arial"/>
          <w:szCs w:val="24"/>
        </w:rPr>
      </w:pPr>
      <w:r>
        <w:rPr>
          <w:rFonts w:ascii="Rockwell" w:hAnsi="Rockwell" w:cs="Arial"/>
          <w:szCs w:val="24"/>
        </w:rPr>
        <w:t>Adjourn at 5:28</w:t>
      </w:r>
      <w:r w:rsidR="0033284C">
        <w:rPr>
          <w:rFonts w:ascii="Rockwell" w:hAnsi="Rockwell" w:cs="Arial"/>
          <w:szCs w:val="24"/>
        </w:rPr>
        <w:t xml:space="preserve"> </w:t>
      </w:r>
      <w:r w:rsidR="0033284C" w:rsidRPr="008C50DA">
        <w:rPr>
          <w:rFonts w:ascii="Rockwell" w:hAnsi="Rockwell" w:cs="Arial"/>
          <w:szCs w:val="24"/>
        </w:rPr>
        <w:t>p.m.</w:t>
      </w:r>
    </w:p>
    <w:p w:rsidR="0033284C" w:rsidRDefault="0033284C" w:rsidP="0033284C">
      <w:pPr>
        <w:jc w:val="both"/>
        <w:rPr>
          <w:rFonts w:ascii="Rockwell" w:hAnsi="Rockwell" w:cs="Arial"/>
          <w:szCs w:val="24"/>
        </w:rPr>
      </w:pPr>
    </w:p>
    <w:p w:rsidR="0033284C" w:rsidRDefault="0033284C" w:rsidP="0033284C">
      <w:pPr>
        <w:jc w:val="both"/>
        <w:rPr>
          <w:rFonts w:ascii="Rockwell" w:hAnsi="Rockwell" w:cs="Arial"/>
          <w:szCs w:val="24"/>
        </w:rPr>
      </w:pPr>
    </w:p>
    <w:p w:rsidR="0033284C" w:rsidRDefault="0033284C" w:rsidP="0033284C">
      <w:pPr>
        <w:jc w:val="both"/>
        <w:rPr>
          <w:rFonts w:ascii="Rockwell" w:hAnsi="Rockwell" w:cs="Arial"/>
          <w:szCs w:val="24"/>
        </w:rPr>
      </w:pPr>
    </w:p>
    <w:p w:rsidR="0033284C" w:rsidRPr="006666FA" w:rsidRDefault="0033284C" w:rsidP="0033284C">
      <w:pPr>
        <w:jc w:val="both"/>
        <w:rPr>
          <w:rFonts w:ascii="Rockwell" w:hAnsi="Rockwell" w:cs="Arial"/>
          <w:szCs w:val="24"/>
        </w:rPr>
      </w:pPr>
      <w:r w:rsidRPr="004C542A">
        <w:rPr>
          <w:rFonts w:ascii="Rockwell" w:hAnsi="Rockwell" w:cs="Arial"/>
          <w:sz w:val="28"/>
          <w:szCs w:val="28"/>
        </w:rPr>
        <w:t xml:space="preserve">____________________________          </w:t>
      </w:r>
      <w:r>
        <w:rPr>
          <w:rFonts w:ascii="Rockwell" w:hAnsi="Rockwell" w:cs="Arial"/>
          <w:sz w:val="28"/>
          <w:szCs w:val="28"/>
        </w:rPr>
        <w:t xml:space="preserve">          </w:t>
      </w:r>
      <w:r w:rsidR="00C55926">
        <w:rPr>
          <w:rFonts w:ascii="Rockwell" w:hAnsi="Rockwell" w:cs="Arial"/>
          <w:sz w:val="28"/>
          <w:szCs w:val="28"/>
        </w:rPr>
        <w:tab/>
      </w:r>
      <w:r>
        <w:rPr>
          <w:rFonts w:ascii="Rockwell" w:hAnsi="Rockwell" w:cs="Arial"/>
          <w:sz w:val="28"/>
          <w:szCs w:val="28"/>
        </w:rPr>
        <w:t xml:space="preserve">  </w:t>
      </w:r>
      <w:r w:rsidRPr="004C542A">
        <w:rPr>
          <w:rFonts w:ascii="Rockwell" w:hAnsi="Rockwell" w:cs="Arial"/>
          <w:sz w:val="28"/>
          <w:szCs w:val="28"/>
        </w:rPr>
        <w:t xml:space="preserve"> _____________________</w:t>
      </w:r>
    </w:p>
    <w:p w:rsidR="0033284C" w:rsidRPr="008C50DA" w:rsidRDefault="00C55926" w:rsidP="0033284C">
      <w:pPr>
        <w:tabs>
          <w:tab w:val="left" w:pos="1440"/>
          <w:tab w:val="left" w:pos="3600"/>
          <w:tab w:val="left" w:pos="5040"/>
          <w:tab w:val="left" w:pos="5760"/>
          <w:tab w:val="left" w:pos="7110"/>
          <w:tab w:val="left" w:pos="8640"/>
        </w:tabs>
        <w:rPr>
          <w:rFonts w:ascii="Rockwell" w:hAnsi="Rockwell" w:cs="Arial"/>
          <w:szCs w:val="24"/>
        </w:rPr>
      </w:pPr>
      <w:r>
        <w:rPr>
          <w:rFonts w:ascii="Rockwell" w:hAnsi="Rockwell" w:cs="Arial"/>
          <w:szCs w:val="24"/>
        </w:rPr>
        <w:t>Angela Hirsch</w:t>
      </w:r>
      <w:r w:rsidR="0033284C">
        <w:rPr>
          <w:rFonts w:ascii="Rockwell" w:hAnsi="Rockwell" w:cs="Arial"/>
          <w:szCs w:val="24"/>
        </w:rPr>
        <w:t xml:space="preserve">, </w:t>
      </w:r>
      <w:r w:rsidR="0033284C" w:rsidRPr="00C55926">
        <w:rPr>
          <w:rFonts w:ascii="Rockwell" w:hAnsi="Rockwell" w:cs="Arial"/>
          <w:szCs w:val="24"/>
        </w:rPr>
        <w:t>Secretary</w:t>
      </w:r>
      <w:r w:rsidRPr="00C55926">
        <w:rPr>
          <w:rFonts w:ascii="Rockwell" w:hAnsi="Rockwell" w:cs="Arial"/>
          <w:szCs w:val="24"/>
        </w:rPr>
        <w:t xml:space="preserve"> Pro Tem</w:t>
      </w:r>
      <w:r w:rsidR="0033284C">
        <w:rPr>
          <w:rFonts w:ascii="Arial" w:hAnsi="Arial" w:cs="Arial"/>
          <w:szCs w:val="24"/>
        </w:rPr>
        <w:t xml:space="preserve">               </w:t>
      </w:r>
      <w:r w:rsidR="0033284C" w:rsidRPr="008746ED">
        <w:rPr>
          <w:rFonts w:ascii="Arial" w:hAnsi="Arial" w:cs="Arial"/>
          <w:szCs w:val="24"/>
        </w:rPr>
        <w:t xml:space="preserve"> </w:t>
      </w:r>
      <w:r w:rsidR="0033284C">
        <w:rPr>
          <w:rFonts w:ascii="Arial" w:hAnsi="Arial" w:cs="Arial"/>
          <w:szCs w:val="24"/>
        </w:rPr>
        <w:t xml:space="preserve">        </w:t>
      </w:r>
      <w:r>
        <w:rPr>
          <w:rFonts w:ascii="Arial" w:hAnsi="Arial" w:cs="Arial"/>
          <w:szCs w:val="24"/>
        </w:rPr>
        <w:tab/>
      </w:r>
      <w:r w:rsidR="0033284C">
        <w:rPr>
          <w:rFonts w:ascii="Arial" w:hAnsi="Arial" w:cs="Arial"/>
          <w:szCs w:val="24"/>
        </w:rPr>
        <w:t xml:space="preserve">    </w:t>
      </w:r>
      <w:r w:rsidR="0033284C">
        <w:rPr>
          <w:rFonts w:ascii="Rockwell" w:hAnsi="Rockwell" w:cs="Arial"/>
          <w:szCs w:val="24"/>
        </w:rPr>
        <w:t xml:space="preserve">Tamra Lowe, </w:t>
      </w:r>
      <w:r w:rsidR="0033284C" w:rsidRPr="004C542A">
        <w:rPr>
          <w:rFonts w:ascii="Rockwell" w:hAnsi="Rockwell" w:cs="Arial"/>
          <w:szCs w:val="24"/>
        </w:rPr>
        <w:t>President</w:t>
      </w:r>
    </w:p>
    <w:p w:rsidR="00960936" w:rsidRDefault="00960936"/>
    <w:sectPr w:rsidR="00960936" w:rsidSect="00B234AA">
      <w:footerReference w:type="default" r:id="rId10"/>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BA" w:rsidRDefault="00C130BA" w:rsidP="00B234AA">
      <w:r>
        <w:separator/>
      </w:r>
    </w:p>
  </w:endnote>
  <w:endnote w:type="continuationSeparator" w:id="0">
    <w:p w:rsidR="00C130BA" w:rsidRDefault="00C130BA" w:rsidP="00B2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3178"/>
      <w:docPartObj>
        <w:docPartGallery w:val="Page Numbers (Bottom of Page)"/>
        <w:docPartUnique/>
      </w:docPartObj>
    </w:sdtPr>
    <w:sdtEndPr>
      <w:rPr>
        <w:noProof/>
      </w:rPr>
    </w:sdtEndPr>
    <w:sdtContent>
      <w:p w:rsidR="00C30D78" w:rsidRDefault="00C30D78">
        <w:pPr>
          <w:pStyle w:val="Footer"/>
          <w:jc w:val="right"/>
        </w:pPr>
        <w:r>
          <w:fldChar w:fldCharType="begin"/>
        </w:r>
        <w:r>
          <w:instrText xml:space="preserve"> PAGE   \* MERGEFORMAT </w:instrText>
        </w:r>
        <w:r>
          <w:fldChar w:fldCharType="separate"/>
        </w:r>
        <w:r w:rsidR="00CC75AA">
          <w:rPr>
            <w:noProof/>
          </w:rPr>
          <w:t>16</w:t>
        </w:r>
        <w:r>
          <w:rPr>
            <w:noProof/>
          </w:rPr>
          <w:fldChar w:fldCharType="end"/>
        </w:r>
      </w:p>
    </w:sdtContent>
  </w:sdt>
  <w:p w:rsidR="00C30D78" w:rsidRDefault="00C3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BA" w:rsidRDefault="00C130BA" w:rsidP="00B234AA">
      <w:r>
        <w:separator/>
      </w:r>
    </w:p>
  </w:footnote>
  <w:footnote w:type="continuationSeparator" w:id="0">
    <w:p w:rsidR="00C130BA" w:rsidRDefault="00C130BA" w:rsidP="00B2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A14"/>
    <w:multiLevelType w:val="hybridMultilevel"/>
    <w:tmpl w:val="CAC0C25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D1E5E"/>
    <w:multiLevelType w:val="hybridMultilevel"/>
    <w:tmpl w:val="2C263A28"/>
    <w:lvl w:ilvl="0" w:tplc="8660A250">
      <w:start w:val="1"/>
      <w:numFmt w:val="bullet"/>
      <w:lvlText w:val=""/>
      <w:lvlJc w:val="left"/>
      <w:pPr>
        <w:ind w:left="720" w:hanging="360"/>
      </w:pPr>
      <w:rPr>
        <w:rFonts w:ascii="Symbol" w:hAnsi="Symbol" w:hint="default"/>
      </w:rPr>
    </w:lvl>
    <w:lvl w:ilvl="1" w:tplc="4992BA44">
      <w:start w:val="1"/>
      <w:numFmt w:val="bullet"/>
      <w:lvlText w:val="o"/>
      <w:lvlJc w:val="left"/>
      <w:pPr>
        <w:ind w:left="1440" w:hanging="360"/>
      </w:pPr>
      <w:rPr>
        <w:rFonts w:ascii="Courier New" w:hAnsi="Courier New" w:hint="default"/>
      </w:rPr>
    </w:lvl>
    <w:lvl w:ilvl="2" w:tplc="3EF2542C">
      <w:start w:val="1"/>
      <w:numFmt w:val="bullet"/>
      <w:lvlText w:val=""/>
      <w:lvlJc w:val="left"/>
      <w:pPr>
        <w:ind w:left="2160" w:hanging="360"/>
      </w:pPr>
      <w:rPr>
        <w:rFonts w:ascii="Wingdings" w:hAnsi="Wingdings" w:hint="default"/>
      </w:rPr>
    </w:lvl>
    <w:lvl w:ilvl="3" w:tplc="93F6C410">
      <w:start w:val="1"/>
      <w:numFmt w:val="bullet"/>
      <w:lvlText w:val=""/>
      <w:lvlJc w:val="left"/>
      <w:pPr>
        <w:ind w:left="2880" w:hanging="360"/>
      </w:pPr>
      <w:rPr>
        <w:rFonts w:ascii="Symbol" w:hAnsi="Symbol" w:hint="default"/>
      </w:rPr>
    </w:lvl>
    <w:lvl w:ilvl="4" w:tplc="2F065D1C">
      <w:start w:val="1"/>
      <w:numFmt w:val="bullet"/>
      <w:lvlText w:val="o"/>
      <w:lvlJc w:val="left"/>
      <w:pPr>
        <w:ind w:left="3600" w:hanging="360"/>
      </w:pPr>
      <w:rPr>
        <w:rFonts w:ascii="Courier New" w:hAnsi="Courier New" w:hint="default"/>
      </w:rPr>
    </w:lvl>
    <w:lvl w:ilvl="5" w:tplc="7960DEB4">
      <w:start w:val="1"/>
      <w:numFmt w:val="bullet"/>
      <w:lvlText w:val=""/>
      <w:lvlJc w:val="left"/>
      <w:pPr>
        <w:ind w:left="4320" w:hanging="360"/>
      </w:pPr>
      <w:rPr>
        <w:rFonts w:ascii="Wingdings" w:hAnsi="Wingdings" w:hint="default"/>
      </w:rPr>
    </w:lvl>
    <w:lvl w:ilvl="6" w:tplc="1F381694">
      <w:start w:val="1"/>
      <w:numFmt w:val="bullet"/>
      <w:lvlText w:val=""/>
      <w:lvlJc w:val="left"/>
      <w:pPr>
        <w:ind w:left="5040" w:hanging="360"/>
      </w:pPr>
      <w:rPr>
        <w:rFonts w:ascii="Symbol" w:hAnsi="Symbol" w:hint="default"/>
      </w:rPr>
    </w:lvl>
    <w:lvl w:ilvl="7" w:tplc="73ECA7C6">
      <w:start w:val="1"/>
      <w:numFmt w:val="bullet"/>
      <w:lvlText w:val="o"/>
      <w:lvlJc w:val="left"/>
      <w:pPr>
        <w:ind w:left="5760" w:hanging="360"/>
      </w:pPr>
      <w:rPr>
        <w:rFonts w:ascii="Courier New" w:hAnsi="Courier New" w:hint="default"/>
      </w:rPr>
    </w:lvl>
    <w:lvl w:ilvl="8" w:tplc="C52CD200">
      <w:start w:val="1"/>
      <w:numFmt w:val="bullet"/>
      <w:lvlText w:val=""/>
      <w:lvlJc w:val="left"/>
      <w:pPr>
        <w:ind w:left="6480" w:hanging="360"/>
      </w:pPr>
      <w:rPr>
        <w:rFonts w:ascii="Wingdings" w:hAnsi="Wingdings" w:hint="default"/>
      </w:rPr>
    </w:lvl>
  </w:abstractNum>
  <w:abstractNum w:abstractNumId="2" w15:restartNumberingAfterBreak="0">
    <w:nsid w:val="69CC7472"/>
    <w:multiLevelType w:val="multilevel"/>
    <w:tmpl w:val="FBE8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53427"/>
    <w:multiLevelType w:val="hybridMultilevel"/>
    <w:tmpl w:val="C34EF920"/>
    <w:lvl w:ilvl="0" w:tplc="E4FA095C">
      <w:start w:val="1"/>
      <w:numFmt w:val="bullet"/>
      <w:lvlText w:val=""/>
      <w:lvlJc w:val="left"/>
      <w:pPr>
        <w:ind w:left="720" w:hanging="360"/>
      </w:pPr>
      <w:rPr>
        <w:rFonts w:ascii="Symbol" w:hAnsi="Symbol" w:hint="default"/>
      </w:rPr>
    </w:lvl>
    <w:lvl w:ilvl="1" w:tplc="51C677E8">
      <w:start w:val="1"/>
      <w:numFmt w:val="bullet"/>
      <w:lvlText w:val="o"/>
      <w:lvlJc w:val="left"/>
      <w:pPr>
        <w:ind w:left="1440" w:hanging="360"/>
      </w:pPr>
      <w:rPr>
        <w:rFonts w:ascii="Courier New" w:hAnsi="Courier New" w:hint="default"/>
      </w:rPr>
    </w:lvl>
    <w:lvl w:ilvl="2" w:tplc="7AD4880A">
      <w:start w:val="1"/>
      <w:numFmt w:val="bullet"/>
      <w:lvlText w:val=""/>
      <w:lvlJc w:val="left"/>
      <w:pPr>
        <w:ind w:left="2160" w:hanging="360"/>
      </w:pPr>
      <w:rPr>
        <w:rFonts w:ascii="Wingdings" w:hAnsi="Wingdings" w:hint="default"/>
      </w:rPr>
    </w:lvl>
    <w:lvl w:ilvl="3" w:tplc="771AA4DA">
      <w:start w:val="1"/>
      <w:numFmt w:val="bullet"/>
      <w:lvlText w:val=""/>
      <w:lvlJc w:val="left"/>
      <w:pPr>
        <w:ind w:left="2880" w:hanging="360"/>
      </w:pPr>
      <w:rPr>
        <w:rFonts w:ascii="Symbol" w:hAnsi="Symbol" w:hint="default"/>
      </w:rPr>
    </w:lvl>
    <w:lvl w:ilvl="4" w:tplc="D0A61BEA">
      <w:start w:val="1"/>
      <w:numFmt w:val="bullet"/>
      <w:lvlText w:val="o"/>
      <w:lvlJc w:val="left"/>
      <w:pPr>
        <w:ind w:left="3600" w:hanging="360"/>
      </w:pPr>
      <w:rPr>
        <w:rFonts w:ascii="Courier New" w:hAnsi="Courier New" w:hint="default"/>
      </w:rPr>
    </w:lvl>
    <w:lvl w:ilvl="5" w:tplc="4872CC7E">
      <w:start w:val="1"/>
      <w:numFmt w:val="bullet"/>
      <w:lvlText w:val=""/>
      <w:lvlJc w:val="left"/>
      <w:pPr>
        <w:ind w:left="4320" w:hanging="360"/>
      </w:pPr>
      <w:rPr>
        <w:rFonts w:ascii="Wingdings" w:hAnsi="Wingdings" w:hint="default"/>
      </w:rPr>
    </w:lvl>
    <w:lvl w:ilvl="6" w:tplc="A8BEF084">
      <w:start w:val="1"/>
      <w:numFmt w:val="bullet"/>
      <w:lvlText w:val=""/>
      <w:lvlJc w:val="left"/>
      <w:pPr>
        <w:ind w:left="5040" w:hanging="360"/>
      </w:pPr>
      <w:rPr>
        <w:rFonts w:ascii="Symbol" w:hAnsi="Symbol" w:hint="default"/>
      </w:rPr>
    </w:lvl>
    <w:lvl w:ilvl="7" w:tplc="9A0E85FA">
      <w:start w:val="1"/>
      <w:numFmt w:val="bullet"/>
      <w:lvlText w:val="o"/>
      <w:lvlJc w:val="left"/>
      <w:pPr>
        <w:ind w:left="5760" w:hanging="360"/>
      </w:pPr>
      <w:rPr>
        <w:rFonts w:ascii="Courier New" w:hAnsi="Courier New" w:hint="default"/>
      </w:rPr>
    </w:lvl>
    <w:lvl w:ilvl="8" w:tplc="4374483A">
      <w:start w:val="1"/>
      <w:numFmt w:val="bullet"/>
      <w:lvlText w:val=""/>
      <w:lvlJc w:val="left"/>
      <w:pPr>
        <w:ind w:left="6480" w:hanging="360"/>
      </w:pPr>
      <w:rPr>
        <w:rFonts w:ascii="Wingdings" w:hAnsi="Wingdings" w:hint="default"/>
      </w:rPr>
    </w:lvl>
  </w:abstractNum>
  <w:abstractNum w:abstractNumId="4" w15:restartNumberingAfterBreak="0">
    <w:nsid w:val="78871EFE"/>
    <w:multiLevelType w:val="hybridMultilevel"/>
    <w:tmpl w:val="29A038E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B559F"/>
    <w:multiLevelType w:val="hybridMultilevel"/>
    <w:tmpl w:val="C0B2F3C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4C"/>
    <w:rsid w:val="000023FB"/>
    <w:rsid w:val="00077FA7"/>
    <w:rsid w:val="000B2664"/>
    <w:rsid w:val="000B3A3C"/>
    <w:rsid w:val="000B44C7"/>
    <w:rsid w:val="001777F4"/>
    <w:rsid w:val="00177E61"/>
    <w:rsid w:val="00224141"/>
    <w:rsid w:val="00260D3C"/>
    <w:rsid w:val="002B4C75"/>
    <w:rsid w:val="002D539F"/>
    <w:rsid w:val="002F22B4"/>
    <w:rsid w:val="0033284C"/>
    <w:rsid w:val="003330D7"/>
    <w:rsid w:val="00364FAF"/>
    <w:rsid w:val="0036626A"/>
    <w:rsid w:val="004242E7"/>
    <w:rsid w:val="00480781"/>
    <w:rsid w:val="004A3B78"/>
    <w:rsid w:val="004D0BE2"/>
    <w:rsid w:val="00507FD6"/>
    <w:rsid w:val="00527EA4"/>
    <w:rsid w:val="0055276A"/>
    <w:rsid w:val="005C3CFC"/>
    <w:rsid w:val="005C56C0"/>
    <w:rsid w:val="0060420C"/>
    <w:rsid w:val="006976F4"/>
    <w:rsid w:val="00772818"/>
    <w:rsid w:val="00826A8A"/>
    <w:rsid w:val="0089171F"/>
    <w:rsid w:val="00892680"/>
    <w:rsid w:val="008B34B7"/>
    <w:rsid w:val="00960936"/>
    <w:rsid w:val="00970FC7"/>
    <w:rsid w:val="009B76CB"/>
    <w:rsid w:val="009E3635"/>
    <w:rsid w:val="00A47E23"/>
    <w:rsid w:val="00A668E1"/>
    <w:rsid w:val="00A8775C"/>
    <w:rsid w:val="00AA581C"/>
    <w:rsid w:val="00AF2A74"/>
    <w:rsid w:val="00B2034E"/>
    <w:rsid w:val="00B234AA"/>
    <w:rsid w:val="00B6087F"/>
    <w:rsid w:val="00B71AA1"/>
    <w:rsid w:val="00BC2A34"/>
    <w:rsid w:val="00BD174C"/>
    <w:rsid w:val="00BE789D"/>
    <w:rsid w:val="00C130BA"/>
    <w:rsid w:val="00C2580D"/>
    <w:rsid w:val="00C30D78"/>
    <w:rsid w:val="00C55926"/>
    <w:rsid w:val="00CB78B0"/>
    <w:rsid w:val="00CC75AA"/>
    <w:rsid w:val="00CE6231"/>
    <w:rsid w:val="00D80A70"/>
    <w:rsid w:val="00DC739A"/>
    <w:rsid w:val="00DD0794"/>
    <w:rsid w:val="00E16ACD"/>
    <w:rsid w:val="00E17ABB"/>
    <w:rsid w:val="00E24751"/>
    <w:rsid w:val="00E543D5"/>
    <w:rsid w:val="00E67931"/>
    <w:rsid w:val="00EF050D"/>
    <w:rsid w:val="00F3502E"/>
    <w:rsid w:val="00F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3B3E"/>
  <w15:chartTrackingRefBased/>
  <w15:docId w15:val="{44E1225B-2100-40F6-AA44-CBD88117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4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AA581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A581C"/>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4C"/>
    <w:pPr>
      <w:spacing w:line="276" w:lineRule="auto"/>
      <w:ind w:left="720"/>
      <w:contextualSpacing/>
    </w:pPr>
    <w:rPr>
      <w:rFonts w:ascii="Arial" w:hAnsi="Arial" w:cs="Arial"/>
      <w:color w:val="000000"/>
      <w:sz w:val="22"/>
      <w:szCs w:val="22"/>
      <w:lang w:val="en"/>
    </w:rPr>
  </w:style>
  <w:style w:type="paragraph" w:styleId="Header">
    <w:name w:val="header"/>
    <w:basedOn w:val="Normal"/>
    <w:link w:val="HeaderChar"/>
    <w:uiPriority w:val="99"/>
    <w:unhideWhenUsed/>
    <w:rsid w:val="00B234AA"/>
    <w:pPr>
      <w:tabs>
        <w:tab w:val="center" w:pos="4680"/>
        <w:tab w:val="right" w:pos="9360"/>
      </w:tabs>
    </w:pPr>
  </w:style>
  <w:style w:type="character" w:customStyle="1" w:styleId="HeaderChar">
    <w:name w:val="Header Char"/>
    <w:basedOn w:val="DefaultParagraphFont"/>
    <w:link w:val="Header"/>
    <w:uiPriority w:val="99"/>
    <w:rsid w:val="00B234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34AA"/>
    <w:pPr>
      <w:tabs>
        <w:tab w:val="center" w:pos="4680"/>
        <w:tab w:val="right" w:pos="9360"/>
      </w:tabs>
    </w:pPr>
  </w:style>
  <w:style w:type="character" w:customStyle="1" w:styleId="FooterChar">
    <w:name w:val="Footer Char"/>
    <w:basedOn w:val="DefaultParagraphFont"/>
    <w:link w:val="Footer"/>
    <w:uiPriority w:val="99"/>
    <w:rsid w:val="00B234AA"/>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AA58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A581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52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92">
      <w:bodyDiv w:val="1"/>
      <w:marLeft w:val="0"/>
      <w:marRight w:val="0"/>
      <w:marTop w:val="0"/>
      <w:marBottom w:val="0"/>
      <w:divBdr>
        <w:top w:val="none" w:sz="0" w:space="0" w:color="auto"/>
        <w:left w:val="none" w:sz="0" w:space="0" w:color="auto"/>
        <w:bottom w:val="none" w:sz="0" w:space="0" w:color="auto"/>
        <w:right w:val="none" w:sz="0" w:space="0" w:color="auto"/>
      </w:divBdr>
    </w:div>
    <w:div w:id="542208998">
      <w:bodyDiv w:val="1"/>
      <w:marLeft w:val="0"/>
      <w:marRight w:val="0"/>
      <w:marTop w:val="0"/>
      <w:marBottom w:val="0"/>
      <w:divBdr>
        <w:top w:val="none" w:sz="0" w:space="0" w:color="auto"/>
        <w:left w:val="none" w:sz="0" w:space="0" w:color="auto"/>
        <w:bottom w:val="none" w:sz="0" w:space="0" w:color="auto"/>
        <w:right w:val="none" w:sz="0" w:space="0" w:color="auto"/>
      </w:divBdr>
    </w:div>
    <w:div w:id="1131676882">
      <w:bodyDiv w:val="1"/>
      <w:marLeft w:val="0"/>
      <w:marRight w:val="0"/>
      <w:marTop w:val="0"/>
      <w:marBottom w:val="0"/>
      <w:divBdr>
        <w:top w:val="none" w:sz="0" w:space="0" w:color="auto"/>
        <w:left w:val="none" w:sz="0" w:space="0" w:color="auto"/>
        <w:bottom w:val="none" w:sz="0" w:space="0" w:color="auto"/>
        <w:right w:val="none" w:sz="0" w:space="0" w:color="auto"/>
      </w:divBdr>
    </w:div>
    <w:div w:id="13758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rcp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rcpl.org/tech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James Hill</cp:lastModifiedBy>
  <cp:revision>2</cp:revision>
  <dcterms:created xsi:type="dcterms:W3CDTF">2024-03-14T12:16:00Z</dcterms:created>
  <dcterms:modified xsi:type="dcterms:W3CDTF">2024-03-14T12:16:00Z</dcterms:modified>
</cp:coreProperties>
</file>